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png" ContentType="image/png"/>
  <Override PartName="/word/media/rId39.png" ContentType="image/png"/>
  <Override PartName="/word/media/rId35.png" ContentType="image/png"/>
  <Override PartName="/word/media/rId52.jpg" ContentType="image/jpeg"/>
  <Override PartName="/word/media/rId48.jpg" ContentType="image/jpeg"/>
  <Override PartName="/word/media/rId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Effects</w:t>
      </w:r>
      <w:r>
        <w:t xml:space="preserve"> </w:t>
      </w:r>
      <w:r>
        <w:t xml:space="preserve">of</w:t>
      </w:r>
      <w:r>
        <w:t xml:space="preserve"> </w:t>
      </w:r>
      <w:r>
        <w:t xml:space="preserve">silvicultural</w:t>
      </w:r>
      <w:r>
        <w:t xml:space="preserve"> </w:t>
      </w:r>
      <w:r>
        <w:t xml:space="preserve">burns</w:t>
      </w:r>
      <w:r>
        <w:t xml:space="preserve"> </w:t>
      </w:r>
      <w:r>
        <w:t xml:space="preserve">on</w:t>
      </w:r>
      <w:r>
        <w:t xml:space="preserve"> </w:t>
      </w:r>
      <w:r>
        <w:t xml:space="preserve">Quercus</w:t>
      </w:r>
      <w:r>
        <w:t xml:space="preserve"> </w:t>
      </w:r>
      <w:r>
        <w:t xml:space="preserve">rubra</w:t>
      </w:r>
      <w:r>
        <w:t xml:space="preserve"> </w:t>
      </w:r>
      <w:r>
        <w:t xml:space="preserve">regeneration</w:t>
      </w:r>
      <w:r>
        <w:t xml:space="preserve"> </w:t>
      </w:r>
      <w:r>
        <w:t xml:space="preserve">near</w:t>
      </w:r>
      <w:r>
        <w:t xml:space="preserve"> </w:t>
      </w:r>
      <w:r>
        <w:t xml:space="preserve">its</w:t>
      </w:r>
      <w:r>
        <w:t xml:space="preserve"> </w:t>
      </w:r>
      <w:r>
        <w:t xml:space="preserve">northern</w:t>
      </w:r>
      <w:r>
        <w:t xml:space="preserve"> </w:t>
      </w:r>
      <w:r>
        <w:t xml:space="preserve">range</w:t>
      </w:r>
      <w:r>
        <w:t xml:space="preserve"> </w:t>
      </w:r>
      <w:r>
        <w:t xml:space="preserve">limit</w:t>
      </w:r>
    </w:p>
    <w:p>
      <w:pPr>
        <w:pStyle w:val="FirstParagraph"/>
      </w:pPr>
      <w:r>
        <w:t xml:space="preserve">Author names: Khanh Ton</w:t>
      </w:r>
      <w:r>
        <w:t xml:space="preserve"> </w:t>
      </w:r>
      <w:r>
        <w:rPr>
          <w:vertAlign w:val="superscript"/>
        </w:rPr>
        <w:t xml:space="preserve">a</w:t>
      </w:r>
      <w:r>
        <w:t xml:space="preserve">, Matt Vadeboncoeur</w:t>
      </w:r>
      <w:r>
        <w:t xml:space="preserve"> </w:t>
      </w:r>
      <w:r>
        <w:rPr>
          <w:vertAlign w:val="superscript"/>
        </w:rPr>
        <w:t xml:space="preserve">a</w:t>
      </w:r>
      <w:r>
        <w:t xml:space="preserve">, Nat Cleavitt</w:t>
      </w:r>
      <w:r>
        <w:t xml:space="preserve"> </w:t>
      </w:r>
      <w:r>
        <w:rPr>
          <w:vertAlign w:val="superscript"/>
        </w:rPr>
        <w:t xml:space="preserve">b</w:t>
      </w:r>
      <w:r>
        <w:t xml:space="preserve">, Heidi Asbjornsen</w:t>
      </w:r>
      <w:r>
        <w:t xml:space="preserve"> </w:t>
      </w:r>
      <w:r>
        <w:rPr>
          <w:vertAlign w:val="superscript"/>
        </w:rPr>
        <w:t xml:space="preserve">a</w:t>
      </w:r>
    </w:p>
    <w:p>
      <w:pPr>
        <w:pStyle w:val="BodyText"/>
      </w:pPr>
      <w:r>
        <w:rPr>
          <w:vertAlign w:val="superscript"/>
        </w:rPr>
        <w:t xml:space="preserve">a</w:t>
      </w:r>
      <w:r>
        <w:t xml:space="preserve"> </w:t>
      </w:r>
      <w:r>
        <w:t xml:space="preserve">Earth Systems Research Center, University of New Hampshire, Durham, NH, USA</w:t>
      </w:r>
    </w:p>
    <w:p>
      <w:pPr>
        <w:pStyle w:val="BodyText"/>
      </w:pPr>
      <w:r>
        <w:rPr>
          <w:vertAlign w:val="superscript"/>
        </w:rPr>
        <w:t xml:space="preserve">b</w:t>
      </w:r>
      <w:r>
        <w:t xml:space="preserve"> </w:t>
      </w:r>
      <w:r>
        <w:t xml:space="preserve">Department of Natural Resources and the Environment, Cornell University, Ithaca, NY, USA</w:t>
      </w:r>
    </w:p>
    <w:p>
      <w:r>
        <w:br w:type="page"/>
      </w:r>
    </w:p>
    <w:bookmarkStart w:id="22" w:name="abstract"/>
    <w:p>
      <w:pPr>
        <w:pStyle w:val="Heading1"/>
      </w:pPr>
      <w:r>
        <w:t xml:space="preserve">Abstract</w:t>
      </w:r>
    </w:p>
    <w:p>
      <w:pPr>
        <w:pStyle w:val="FirstParagraph"/>
      </w:pPr>
      <w:r>
        <w:t xml:space="preserve">Northern red oak (</w:t>
      </w:r>
      <w:r>
        <w:rPr>
          <w:i/>
          <w:iCs/>
        </w:rPr>
        <w:t xml:space="preserve">Quercus rubra</w:t>
      </w:r>
      <w:r>
        <w:t xml:space="preserve">) is predicted to expand its range northward in the northeastern United States with climate change and could greatly improve forest resilience by expanding the functional diversity of its new habitats. However, red oak regeneration currently faces many challenges including predation, pathogens, and consequences of forest mesophication such as light insufficiency and competition with more mesic species. The latter challenges are potentially caused by the absence of fire in forested landscapes since the early 1900s. Therefore, prescribed burns may help address these challenges and hence promote oak establishment and recruitment. We studied six prescribed burn/unburn pairs of stands from across the White Mountain National Forest in New Hampshire, most of which were managed over the past decade, plus one unmanaged stand where a wildfire occurred. In summers 2023 and 2024, we surveyed naturally regenerated oak seedlings along transects representing gradients of burn intensity, distance from edge, overstory density, and soil disturbance. Seedlings were aged, measured for height and diameter at root collar, and assessed for herbivory and pathogen damage. We found seedling density to be three times greater in prescribed burn stands relative to their paired unburn controls. Seedlings in burned stands also grew better, evidenced by greater diameter at root collar, greater extension growth, and more sprouted leaves. Our study demonstrates positive effects for red oak regeneration near its northern range limit in North America and affirms prescribed fire as a potentially beneficial silvicultural management tool in introducing the species north of its current distribution.</w:t>
      </w:r>
    </w:p>
    <w:bookmarkStart w:id="20" w:name="keywords"/>
    <w:p>
      <w:pPr>
        <w:pStyle w:val="Heading2"/>
      </w:pPr>
      <w:r>
        <w:t xml:space="preserve">Keywords</w:t>
      </w:r>
    </w:p>
    <w:p>
      <w:pPr>
        <w:pStyle w:val="FirstParagraph"/>
      </w:pPr>
      <w:r>
        <w:t xml:space="preserve">climate resilience, plant-soil feedback, prescribed fire, Quercus rubra, regeneration</w:t>
      </w:r>
    </w:p>
    <w:bookmarkEnd w:id="20"/>
    <w:bookmarkStart w:id="21" w:name="highlights"/>
    <w:p>
      <w:pPr>
        <w:pStyle w:val="Heading2"/>
      </w:pPr>
      <w:r>
        <w:t xml:space="preserve">Highlights</w:t>
      </w:r>
    </w:p>
    <w:p>
      <w:pPr>
        <w:numPr>
          <w:ilvl w:val="0"/>
          <w:numId w:val="1001"/>
        </w:numPr>
      </w:pPr>
      <w:r>
        <w:t xml:space="preserve">Prescribed fire helps establish, develop, and release of</w:t>
      </w:r>
      <w:r>
        <w:t xml:space="preserve"> </w:t>
      </w:r>
      <w:r>
        <w:rPr>
          <w:i/>
          <w:iCs/>
        </w:rPr>
        <w:t xml:space="preserve">Quercus rubra</w:t>
      </w:r>
      <w:r>
        <w:t xml:space="preserve"> </w:t>
      </w:r>
      <w:r>
        <w:t xml:space="preserve">regeneration</w:t>
      </w:r>
    </w:p>
    <w:p>
      <w:pPr>
        <w:numPr>
          <w:ilvl w:val="0"/>
          <w:numId w:val="1001"/>
        </w:numPr>
      </w:pPr>
      <w:r>
        <w:rPr>
          <w:i/>
          <w:iCs/>
        </w:rPr>
        <w:t xml:space="preserve">Quercus rubra</w:t>
      </w:r>
      <w:r>
        <w:t xml:space="preserve"> </w:t>
      </w:r>
      <w:r>
        <w:t xml:space="preserve">mature trees survive fire better than its mesophytic counterparts</w:t>
      </w:r>
    </w:p>
    <w:p>
      <w:pPr>
        <w:numPr>
          <w:ilvl w:val="0"/>
          <w:numId w:val="1001"/>
        </w:numPr>
      </w:pPr>
      <w:r>
        <w:t xml:space="preserve">Fire induces higher acorn yields and germination rates in the following 3 years</w:t>
      </w:r>
    </w:p>
    <w:p>
      <w:pPr>
        <w:numPr>
          <w:ilvl w:val="0"/>
          <w:numId w:val="1001"/>
        </w:numPr>
      </w:pPr>
      <w:r>
        <w:rPr>
          <w:i/>
          <w:iCs/>
        </w:rPr>
        <w:t xml:space="preserve">Quercus rubra</w:t>
      </w:r>
      <w:r>
        <w:t xml:space="preserve"> </w:t>
      </w:r>
      <w:r>
        <w:t xml:space="preserve">seedlings are more abundant and grow better in burned stands</w:t>
      </w:r>
    </w:p>
    <w:p>
      <w:r>
        <w:br w:type="page"/>
      </w:r>
    </w:p>
    <w:bookmarkEnd w:id="21"/>
    <w:bookmarkEnd w:id="22"/>
    <w:bookmarkStart w:id="23" w:name="introduction"/>
    <w:p>
      <w:pPr>
        <w:pStyle w:val="Heading1"/>
      </w:pPr>
      <w:r>
        <w:t xml:space="preserve">1. Introduction</w:t>
      </w:r>
    </w:p>
    <w:p>
      <w:pPr>
        <w:pStyle w:val="FirstParagraph"/>
      </w:pPr>
      <w:r>
        <w:t xml:space="preserve">Northern red oak (</w:t>
      </w:r>
      <w:r>
        <w:rPr>
          <w:i/>
          <w:iCs/>
        </w:rPr>
        <w:t xml:space="preserve">Quercus rubra</w:t>
      </w:r>
      <w:r>
        <w:t xml:space="preserve"> </w:t>
      </w:r>
      <w:r>
        <w:t xml:space="preserve">L.) is an economically and ecologically important tree species in the northeastern United States. It is a fast-growing species and thrives on a wide range of upland soils</w:t>
      </w:r>
      <w:r>
        <w:t xml:space="preserve"> </w:t>
      </w:r>
      <w:r>
        <w:t xml:space="preserve">(Abrams 1992)</w:t>
      </w:r>
      <w:r>
        <w:t xml:space="preserve">. Additionally, it is tolerant of heat, drought</w:t>
      </w:r>
      <w:r>
        <w:t xml:space="preserve"> </w:t>
      </w:r>
      <w:r>
        <w:t xml:space="preserve">(Coble et al. 2017, Asbjornsen et al. 2021)</w:t>
      </w:r>
      <w:r>
        <w:t xml:space="preserve">, and ground fire</w:t>
      </w:r>
      <w:r>
        <w:t xml:space="preserve"> </w:t>
      </w:r>
      <w:r>
        <w:t xml:space="preserve">(Abrams 2000)</w:t>
      </w:r>
      <w:r>
        <w:t xml:space="preserve">.</w:t>
      </w:r>
      <w:r>
        <w:t xml:space="preserve"> </w:t>
      </w:r>
      <w:r>
        <w:rPr>
          <w:i/>
          <w:iCs/>
        </w:rPr>
        <w:t xml:space="preserve">Q. rubra</w:t>
      </w:r>
      <w:r>
        <w:t xml:space="preserve"> </w:t>
      </w:r>
      <w:r>
        <w:t xml:space="preserve">produces high-quality timber with high wood density, making it an important lumber commodity and prompting forest managers to be concerned with its sustainable regeneration</w:t>
      </w:r>
      <w:r>
        <w:t xml:space="preserve"> </w:t>
      </w:r>
      <w:r>
        <w:t xml:space="preserve">(Dey and Schweitzer 2018)</w:t>
      </w:r>
      <w:r>
        <w:t xml:space="preserve">.</w:t>
      </w:r>
      <w:r>
        <w:t xml:space="preserve"> </w:t>
      </w:r>
      <w:r>
        <w:rPr>
          <w:i/>
          <w:iCs/>
        </w:rPr>
        <w:t xml:space="preserve">Q. rubra</w:t>
      </w:r>
      <w:r>
        <w:t xml:space="preserve"> </w:t>
      </w:r>
      <w:r>
        <w:t xml:space="preserve">is managed for other ecological values as well. For example, it serves as a habitat and food source for many wildlife species, from birds like turkeys and jays to mammals like mice, squirrels, and deer, and even insects like weevils</w:t>
      </w:r>
      <w:r>
        <w:t xml:space="preserve"> </w:t>
      </w:r>
      <w:r>
        <w:t xml:space="preserve">(Mcshea et al. 2007)</w:t>
      </w:r>
      <w:r>
        <w:t xml:space="preserve">. Acorn mast production, occurring about every two years, plays a critical role in driving their population dynamics</w:t>
      </w:r>
      <w:r>
        <w:t xml:space="preserve"> </w:t>
      </w:r>
      <w:r>
        <w:t xml:space="preserve">(Sork et al. 1993)</w:t>
      </w:r>
      <w:r>
        <w:t xml:space="preserve">.</w:t>
      </w:r>
    </w:p>
    <w:p>
      <w:pPr>
        <w:pStyle w:val="BodyText"/>
      </w:pPr>
      <w:r>
        <w:rPr>
          <w:i/>
          <w:iCs/>
        </w:rPr>
        <w:t xml:space="preserve">Q. rubra</w:t>
      </w:r>
      <w:r>
        <w:t xml:space="preserve"> </w:t>
      </w:r>
      <w:r>
        <w:t xml:space="preserve">currently faces many regeneration challenges in the northeastern US, and its recruitment may continue failing without timely and appropriate interventions. Oak-dominated forests are at their peak capacity to produce acorns at present; however, if forest aging continued for the next 50 years without sufficient regeneration to maintain its age structure, a population bottleneck may ensue</w:t>
      </w:r>
      <w:r>
        <w:t xml:space="preserve"> </w:t>
      </w:r>
      <w:r>
        <w:t xml:space="preserve">(Dey 2014)</w:t>
      </w:r>
      <w:r>
        <w:t xml:space="preserve">. Acorns have become a major hard mast source for wildlife consumption since the demise of American chestnut, but their production declines in older stands</w:t>
      </w:r>
      <w:r>
        <w:t xml:space="preserve"> </w:t>
      </w:r>
      <w:r>
        <w:t xml:space="preserve">(McEwan and Muller 2006)</w:t>
      </w:r>
      <w:r>
        <w:t xml:space="preserve">. Weevils can also make the acorns non-viable before they are fully mature. This high seed predation strongly limits successful advance regeneration outside of mast years</w:t>
      </w:r>
      <w:r>
        <w:t xml:space="preserve"> </w:t>
      </w:r>
      <w:r>
        <w:t xml:space="preserve">(Mcshea et al. 2007)</w:t>
      </w:r>
      <w:r>
        <w:t xml:space="preserve">. Moreover, seedling root penetration into underlying soils can be hindered by thick litter layers and can result in long and weak stems.</w:t>
      </w:r>
      <w:r>
        <w:t xml:space="preserve"> </w:t>
      </w:r>
      <w:r>
        <w:t xml:space="preserve">(Arthur et al. 2012)</w:t>
      </w:r>
      <w:r>
        <w:t xml:space="preserve">. Even when seedlings are established, they risk getting eaten, especially by deer</w:t>
      </w:r>
      <w:r>
        <w:t xml:space="preserve"> </w:t>
      </w:r>
      <w:r>
        <w:t xml:space="preserve">(Mcshea et al. 2007)</w:t>
      </w:r>
      <w:r>
        <w:t xml:space="preserve">.</w:t>
      </w:r>
      <w:r>
        <w:t xml:space="preserve"> </w:t>
      </w:r>
      <w:r>
        <w:rPr>
          <w:i/>
          <w:iCs/>
        </w:rPr>
        <w:t xml:space="preserve">Q. rubra</w:t>
      </w:r>
      <w:r>
        <w:t xml:space="preserve"> </w:t>
      </w:r>
      <w:r>
        <w:t xml:space="preserve">is also susceptible to some fungal pathogens later in its life cycle including</w:t>
      </w:r>
      <w:r>
        <w:t xml:space="preserve"> </w:t>
      </w:r>
      <w:r>
        <w:rPr>
          <w:i/>
          <w:iCs/>
        </w:rPr>
        <w:t xml:space="preserve">Bretziella fagacearum</w:t>
      </w:r>
      <w:r>
        <w:t xml:space="preserve"> </w:t>
      </w:r>
      <w:r>
        <w:t xml:space="preserve">and</w:t>
      </w:r>
      <w:r>
        <w:t xml:space="preserve"> </w:t>
      </w:r>
      <w:r>
        <w:rPr>
          <w:i/>
          <w:iCs/>
        </w:rPr>
        <w:t xml:space="preserve">Armillaria mellea</w:t>
      </w:r>
      <w:r>
        <w:t xml:space="preserve">, which cause oak wilt and Armillaria root rot respectively. While the former disease is spread from tree to tree through root grafts and travels longer distances by sap beetles (</w:t>
      </w:r>
      <w:r>
        <w:rPr>
          <w:i/>
          <w:iCs/>
        </w:rPr>
        <w:t xml:space="preserve">Nitidulidae</w:t>
      </w:r>
      <w:r>
        <w:t xml:space="preserve">) and bark beetles (</w:t>
      </w:r>
      <w:r>
        <w:rPr>
          <w:i/>
          <w:iCs/>
        </w:rPr>
        <w:t xml:space="preserve">Pseudopityophthorus spp.</w:t>
      </w:r>
      <w:r>
        <w:t xml:space="preserve">), the latter grows parasitically on trees weakened by fire, drought, insects, or other diseases</w:t>
      </w:r>
      <w:r>
        <w:t xml:space="preserve"> </w:t>
      </w:r>
      <w:r>
        <w:t xml:space="preserve">(Sander 1990)</w:t>
      </w:r>
      <w:r>
        <w:t xml:space="preserve">. Lastly, its relative shade intolerance retards its seedling recruitment when there is insufficient light in the understory</w:t>
      </w:r>
      <w:r>
        <w:t xml:space="preserve"> </w:t>
      </w:r>
      <w:r>
        <w:t xml:space="preserve">(Nowacki and Abrams 2008)</w:t>
      </w:r>
      <w:r>
        <w:t xml:space="preserve">. Seedling growth might be slow due to competition from more shade-tolerant species such as red maple (</w:t>
      </w:r>
      <w:r>
        <w:rPr>
          <w:i/>
          <w:iCs/>
        </w:rPr>
        <w:t xml:space="preserve">Acer rubrum</w:t>
      </w:r>
      <w:r>
        <w:t xml:space="preserve">) and American beech (</w:t>
      </w:r>
      <w:r>
        <w:rPr>
          <w:i/>
          <w:iCs/>
        </w:rPr>
        <w:t xml:space="preserve">Fagus grandifolia</w:t>
      </w:r>
      <w:r>
        <w:t xml:space="preserve">). </w:t>
      </w:r>
    </w:p>
    <w:p>
      <w:pPr>
        <w:pStyle w:val="BodyText"/>
      </w:pPr>
      <w:r>
        <w:t xml:space="preserve">Abrams (1992)</w:t>
      </w:r>
      <w:r>
        <w:t xml:space="preserve"> </w:t>
      </w:r>
      <w:r>
        <w:t xml:space="preserve">hypothesized that ground fire might be crucial for oak regeneration. Fire has been integral to upland oak systems in the eastern US for millennia, evidenced by the co-presence of charcoal and oak dominance. Pre-settlement fires occurred as a function of lightning strikes as well as native activities such as cooking, heating, seedbed preparation, hunting, ceramic manufacture, and communication</w:t>
      </w:r>
      <w:r>
        <w:t xml:space="preserve"> </w:t>
      </w:r>
      <w:r>
        <w:t xml:space="preserve">(Nowacki and Thomas-Van Gundy 2024)</w:t>
      </w:r>
      <w:r>
        <w:t xml:space="preserve">. European settlement continued the periodic burning; furthermore, they spent the first half of the 19</w:t>
      </w:r>
      <w:r>
        <w:rPr>
          <w:vertAlign w:val="superscript"/>
        </w:rPr>
        <w:t xml:space="preserve">th</w:t>
      </w:r>
      <w:r>
        <w:t xml:space="preserve"> </w:t>
      </w:r>
      <w:r>
        <w:t xml:space="preserve">clearing land for agriculture, then the second half abandoning such farmland. Abandoned fields quickly became white pine-dominated forests (</w:t>
      </w:r>
      <w:r>
        <w:rPr>
          <w:i/>
          <w:iCs/>
        </w:rPr>
        <w:t xml:space="preserve">Pinus strobus</w:t>
      </w:r>
      <w:r>
        <w:t xml:space="preserve">), which was promptly logged as timber.</w:t>
      </w:r>
      <w:r>
        <w:t xml:space="preserve"> </w:t>
      </w:r>
      <w:r>
        <w:rPr>
          <w:i/>
          <w:iCs/>
        </w:rPr>
        <w:t xml:space="preserve">Q. rubra</w:t>
      </w:r>
      <w:r>
        <w:t xml:space="preserve"> </w:t>
      </w:r>
      <w:r>
        <w:t xml:space="preserve">was released from the understory and became dominant in the mid-20</w:t>
      </w:r>
      <w:r>
        <w:rPr>
          <w:vertAlign w:val="superscript"/>
        </w:rPr>
        <w:t xml:space="preserve">th</w:t>
      </w:r>
      <w:r>
        <w:t xml:space="preserve"> </w:t>
      </w:r>
      <w:r>
        <w:t xml:space="preserve">century at last</w:t>
      </w:r>
      <w:r>
        <w:t xml:space="preserve"> </w:t>
      </w:r>
      <w:r>
        <w:t xml:space="preserve">(Nowacki and Abrams 2008)</w:t>
      </w:r>
      <w:r>
        <w:t xml:space="preserve">. Oak recruitment, however, sharply declined shortly afterward as forests were becoming wetter and more shady. Implementation of aggressive federal fire suppression efforts, combined with land conversion and overgrazing legacy, started to promote forest mesophication. Mesic microenvironmental conditions in turn favored the regeneration of shade-tolerant species. This positive feedback loop shrinks suitable habitats for shade-intolerant, fire-adapted species like</w:t>
      </w:r>
      <w:r>
        <w:t xml:space="preserve"> </w:t>
      </w:r>
      <w:r>
        <w:rPr>
          <w:i/>
          <w:iCs/>
        </w:rPr>
        <w:t xml:space="preserve">Q. rubra</w:t>
      </w:r>
      <w:r>
        <w:t xml:space="preserve"> </w:t>
      </w:r>
      <w:r>
        <w:t xml:space="preserve">over time. Therefore, it has been argued that it is necessary to bring back fire in a controlled manner to reverse the feedback loop and restore the upland oak ecosystems</w:t>
      </w:r>
      <w:r>
        <w:t xml:space="preserve"> </w:t>
      </w:r>
      <w:r>
        <w:t xml:space="preserve">(Abrams 1992)</w:t>
      </w:r>
      <w:r>
        <w:t xml:space="preserve">.</w:t>
      </w:r>
    </w:p>
    <w:p>
      <w:pPr>
        <w:pStyle w:val="BodyText"/>
      </w:pPr>
      <w:r>
        <w:t xml:space="preserve">The other important consideration for oak regeneration is that</w:t>
      </w:r>
      <w:r>
        <w:t xml:space="preserve"> </w:t>
      </w:r>
      <w:r>
        <w:rPr>
          <w:i/>
          <w:iCs/>
        </w:rPr>
        <w:t xml:space="preserve">Q. rubra</w:t>
      </w:r>
      <w:r>
        <w:t xml:space="preserve"> </w:t>
      </w:r>
      <w:r>
        <w:t xml:space="preserve">distribution is projected to move further northward due to climate change</w:t>
      </w:r>
      <w:r>
        <w:t xml:space="preserve"> </w:t>
      </w:r>
      <w:r>
        <w:t xml:space="preserve">(Peters et al. 2020a)</w:t>
      </w:r>
      <w:r>
        <w:t xml:space="preserve">. Out of all</w:t>
      </w:r>
      <w:r>
        <w:t xml:space="preserve"> </w:t>
      </w:r>
      <w:r>
        <w:rPr>
          <w:i/>
          <w:iCs/>
        </w:rPr>
        <w:t xml:space="preserve">Quercus</w:t>
      </w:r>
      <w:r>
        <w:t xml:space="preserve"> </w:t>
      </w:r>
      <w:r>
        <w:t xml:space="preserve">species native to North America, it is the one with the most northern distribution. Previously, it was pushed southward to its modern-day distributions during the Eocene-Oligocene climate transition 34 million years ago due to a 3-5</w:t>
      </w:r>
      <w:r>
        <w:rPr>
          <w:vertAlign w:val="superscript"/>
        </w:rPr>
        <w:t xml:space="preserve">o</w:t>
      </w:r>
      <w:r>
        <w:t xml:space="preserve">C decrease in temperature at high latitudes</w:t>
      </w:r>
      <w:r>
        <w:t xml:space="preserve"> </w:t>
      </w:r>
      <w:r>
        <w:t xml:space="preserve">(Hipp et al. 2018)</w:t>
      </w:r>
      <w:r>
        <w:t xml:space="preserve">. However, its potential distribution is now projected to increase substantially in New England by 2100, particularly in northern New York, Vermont, New Hampshire, and Maine, under both representative concentration pathways (RCP) 4.5 and 8.5 due to high adaptability to a changing climate</w:t>
      </w:r>
      <w:r>
        <w:t xml:space="preserve"> </w:t>
      </w:r>
      <w:r>
        <w:t xml:space="preserve">(Peters et al. 2020b)</w:t>
      </w:r>
      <w:r>
        <w:t xml:space="preserve">. This presents an opportunity for foresters, landowners, and scientists with an interest in introducing or increasing</w:t>
      </w:r>
      <w:r>
        <w:t xml:space="preserve"> </w:t>
      </w:r>
      <w:r>
        <w:rPr>
          <w:i/>
          <w:iCs/>
        </w:rPr>
        <w:t xml:space="preserve">Q. rubra</w:t>
      </w:r>
      <w:r>
        <w:t xml:space="preserve"> </w:t>
      </w:r>
      <w:r>
        <w:t xml:space="preserve">density as part of their species mix at or beyond its current range limit as a timber producing species using silvicultural strategies to better understand what limits its regeneration near its northern range limit. Adaptive silviculture can be implemented to ensure this seamless transition and contribute towards long-term resilience on the stand level</w:t>
      </w:r>
      <w:r>
        <w:t xml:space="preserve"> </w:t>
      </w:r>
      <w:r>
        <w:t xml:space="preserve">(Nagel et al. 2017)</w:t>
      </w:r>
      <w:r>
        <w:t xml:space="preserve">. Adding another species like</w:t>
      </w:r>
      <w:r>
        <w:t xml:space="preserve"> </w:t>
      </w:r>
      <w:r>
        <w:rPr>
          <w:i/>
          <w:iCs/>
        </w:rPr>
        <w:t xml:space="preserve">Q. rubra</w:t>
      </w:r>
      <w:r>
        <w:t xml:space="preserve"> </w:t>
      </w:r>
      <w:r>
        <w:t xml:space="preserve">to the mix can increase an ecosystem’s functional diversity, potentially stabilizing it and mitigating future stresses and disturbances such as drought impacts</w:t>
      </w:r>
      <w:r>
        <w:t xml:space="preserve"> </w:t>
      </w:r>
      <w:r>
        <w:t xml:space="preserve">(Yu’an 2025)</w:t>
      </w:r>
      <w:r>
        <w:t xml:space="preserve">. Silvicultural methods range from different ways of thinning and artificial planting to prescribed burns and combinations of them. Since oaks are not of any distinctive commercial value until they reach a diameter at breast height (DBH) of 30 cm, regeneration strategies need to be lengthy processes to ensure its establishment, development of advanced regeneration to 1.4 m, and release</w:t>
      </w:r>
      <w:r>
        <w:t xml:space="preserve"> </w:t>
      </w:r>
      <w:r>
        <w:t xml:space="preserve">(Desmarais 1998)</w:t>
      </w:r>
      <w:r>
        <w:t xml:space="preserve">. Syncing forest operations with nature’s timing is another important consideration. For example, it might be sensible to do shelterwood cutting, during which a portion of trees is removed uniformly over the plot, during bareground seasons to scarify the soil and bury acorns below the soil surface. Many previous studies have demonstrated that fire, alone or when combined with thinning, strengthens or re-establishes its dominance in different ecosystems through a combination of greater relative fire resistance and easing other regeneration limitations</w:t>
      </w:r>
      <w:r>
        <w:t xml:space="preserve"> </w:t>
      </w:r>
      <w:r>
        <w:t xml:space="preserve">(Iverson et al. 2008, Granger et al. 2018, Bassett et al. 2020, Dee et al. 2022)</w:t>
      </w:r>
      <w:r>
        <w:t xml:space="preserve">. This study built on previous research and further explored prescribed fire’s role in oak range expansion.</w:t>
      </w:r>
    </w:p>
    <w:p>
      <w:pPr>
        <w:pStyle w:val="BodyText"/>
      </w:pPr>
      <w:r>
        <w:t xml:space="preserve">This study investigates whether prescribed fire promotes the recruitment of</w:t>
      </w:r>
      <w:r>
        <w:t xml:space="preserve"> </w:t>
      </w:r>
      <w:r>
        <w:rPr>
          <w:i/>
          <w:iCs/>
        </w:rPr>
        <w:t xml:space="preserve">Q. rubra</w:t>
      </w:r>
      <w:r>
        <w:t xml:space="preserve"> </w:t>
      </w:r>
      <w:r>
        <w:t xml:space="preserve">seedlings and improves their growth relative to other forest management practices. We studied six pairs of burn and control forest stands across the White Mountains ecoregion in New Hampshire, USA. Three pairs were intentionally harvested and prescribed burn treatments applied with the objective of improving oak regeneration. Two other pairs lack an oak seed source but can provide insights into northern hardwood regeneration dynamics following prescribed burns. The last pair were unmanaged and experienced a wildfire instead, making it a fitting comparison. We hypothesized that</w:t>
      </w:r>
      <w:r>
        <w:t xml:space="preserve"> </w:t>
      </w:r>
      <w:r>
        <w:rPr>
          <w:i/>
          <w:iCs/>
        </w:rPr>
        <w:t xml:space="preserve">Q. rubra</w:t>
      </w:r>
      <w:r>
        <w:t xml:space="preserve"> </w:t>
      </w:r>
      <w:r>
        <w:t xml:space="preserve">regenerates better in burn stands, both quantitatively and qualitatively.</w:t>
      </w:r>
    </w:p>
    <w:bookmarkEnd w:id="23"/>
    <w:bookmarkStart w:id="34" w:name="methods"/>
    <w:p>
      <w:pPr>
        <w:pStyle w:val="Heading1"/>
      </w:pPr>
      <w:r>
        <w:t xml:space="preserve">2. Methods</w:t>
      </w:r>
    </w:p>
    <w:bookmarkStart w:id="29" w:name="study-sites"/>
    <w:p>
      <w:pPr>
        <w:pStyle w:val="Heading2"/>
      </w:pPr>
      <w:r>
        <w:t xml:space="preserve">2.1 Study sites</w:t>
      </w:r>
    </w:p>
    <w:p>
      <w:pPr>
        <w:pStyle w:val="FirstParagraph"/>
      </w:pPr>
      <w:r>
        <w:t xml:space="preserve">The selected pairs of burn and control forest stands for this study are located in the approximately 320,000-ha White Mountains National Forest (WMNF) in New Hampshire (USA), three of which are part of a novel landscape-scale project guided by the forest’s Land and Resource Management Plan (1999-2005,</w:t>
      </w:r>
      <w:r>
        <w:t xml:space="preserve"> </w:t>
      </w:r>
      <w:r>
        <w:t xml:space="preserve">(USDA Forest Service 2005)</w:t>
      </w:r>
      <w:r>
        <w:t xml:space="preserve">) and implemented by the USFS over the past two decades (Appendix, Figures 1-4). They are paired by project and treatment date, with one stand harvested and the paired site harvested and burned (</w:t>
      </w:r>
      <w:hyperlink w:anchor="tbl-pairs">
        <w:r>
          <w:rPr>
            <w:rStyle w:val="Hyperlink"/>
          </w:rPr>
          <w:t xml:space="preserve">Table 1</w:t>
        </w:r>
      </w:hyperlink>
      <w:r>
        <w:t xml:space="preserve">,</w:t>
      </w:r>
      <w:r>
        <w:t xml:space="preserve"> </w:t>
      </w:r>
      <w:hyperlink w:anchor="fig-map">
        <w:r>
          <w:rPr>
            <w:rStyle w:val="Hyperlink"/>
          </w:rPr>
          <w:t xml:space="preserve">Figure 1</w:t>
        </w:r>
      </w:hyperlink>
      <w:r>
        <w:t xml:space="preserve">). One pair does not have any recent management history, but was sampled opportunistically following a wildfire that resulted in patchy mortality of canopy trees in a mature stand. The remaining two pairs at Bartlett Experimental Forest were burned rather opportunistically, as a way to study how a combination of clearcut and prescribed fire can impact overall vegetation regeneration. While there existed some</w:t>
      </w:r>
      <w:r>
        <w:t xml:space="preserve"> </w:t>
      </w:r>
      <w:r>
        <w:rPr>
          <w:i/>
          <w:iCs/>
        </w:rPr>
        <w:t xml:space="preserve">Q. rubra</w:t>
      </w:r>
      <w:r>
        <w:t xml:space="preserve"> </w:t>
      </w:r>
      <w:r>
        <w:t xml:space="preserve">seedlings in the surrounding forest stands and even burned acorns in the study stands, no seed source was present after the treatments. Mature trees were presumed to be harvested during the clearcuts.</w:t>
      </w:r>
    </w:p>
    <w:tbl>
      <w:tblPr>
        <w:tblStyle w:val="Table"/>
        <w:tblW w:type="pct" w:w="5000"/>
        <w:tblLayout w:type="fixed"/>
        <w:tblLook w:firstRow="0" w:lastRow="0" w:firstColumn="0" w:lastColumn="0" w:noHBand="0" w:noVBand="0" w:val="0000"/>
      </w:tblPr>
      <w:tblGrid>
        <w:gridCol w:w="7920"/>
      </w:tblGrid>
      <w:tr>
        <w:tc>
          <w:tcPr/>
          <w:bookmarkStart w:id="24" w:name="tbl-pairs"/>
          <w:p>
            <w:pPr>
              <w:jc w:val="center"/>
            </w:pPr>
            <w:pPr>
              <w:jc w:val="start"/>
              <w:spacing w:before="200"/>
              <w:pStyle w:val="ImageCaption"/>
            </w:pPr>
            <w:r>
              <w:t xml:space="preserve">Table 1: Six burn and control stand pairs for the study. Stands are paired by where they are located (SB, HOG, CF, or BEF, how they were harvested (shelterwood, seed tree, or clearcut), and that they were harvested concurrently.</w:t>
            </w:r>
          </w:p>
          <w:tbl>
            <w:tblPr>
              <w:tblStyle w:val="Table"/>
              <w:tblW w:type="pct" w:w="5000"/>
              <w:tblLayout w:type="fixed"/>
              <w:tblLook w:firstRow="1" w:lastRow="0" w:firstColumn="0" w:lastColumn="0" w:noHBand="0" w:noVBand="0" w:val="0020"/>
            </w:tblPr>
            <w:tblGrid>
              <w:gridCol w:w="1320"/>
              <w:gridCol w:w="1320"/>
              <w:gridCol w:w="1320"/>
              <w:gridCol w:w="1320"/>
              <w:gridCol w:w="1320"/>
              <w:gridCol w:w="1320"/>
            </w:tblGrid>
            <w:tr>
              <w:trPr>
                <w:tblHeader w:val="on"/>
              </w:trPr>
              <w:tc>
                <w:tcPr/>
                <w:p>
                  <w:pPr>
                    <w:pStyle w:val="Compact"/>
                    <w:jc w:val="left"/>
                    <w:jc w:val="center"/>
                  </w:pPr>
                  <w:r>
                    <w:t xml:space="preserve">Pair</w:t>
                  </w:r>
                </w:p>
              </w:tc>
              <w:tc>
                <w:tcPr/>
                <w:p>
                  <w:pPr>
                    <w:pStyle w:val="Compact"/>
                    <w:jc w:val="left"/>
                    <w:jc w:val="center"/>
                  </w:pPr>
                  <w:r>
                    <w:t xml:space="preserve">Stand</w:t>
                  </w:r>
                </w:p>
              </w:tc>
              <w:tc>
                <w:tcPr/>
                <w:p>
                  <w:pPr>
                    <w:pStyle w:val="Compact"/>
                    <w:jc w:val="left"/>
                    <w:jc w:val="center"/>
                  </w:pPr>
                  <w:r>
                    <w:t xml:space="preserve">Burn year</w:t>
                  </w:r>
                </w:p>
              </w:tc>
              <w:tc>
                <w:tcPr/>
                <w:p>
                  <w:pPr>
                    <w:pStyle w:val="Compact"/>
                    <w:jc w:val="left"/>
                    <w:jc w:val="center"/>
                  </w:pPr>
                  <w:r>
                    <w:t xml:space="preserve">Harvest year</w:t>
                  </w:r>
                </w:p>
              </w:tc>
              <w:tc>
                <w:tcPr/>
                <w:p>
                  <w:pPr>
                    <w:pStyle w:val="Compact"/>
                    <w:jc w:val="left"/>
                    <w:jc w:val="center"/>
                  </w:pPr>
                  <w:r>
                    <w:t xml:space="preserve">Harvest treatment</w:t>
                  </w:r>
                </w:p>
              </w:tc>
              <w:tc>
                <w:tcPr/>
                <w:p>
                  <w:pPr>
                    <w:pStyle w:val="Compact"/>
                    <w:jc w:val="left"/>
                    <w:jc w:val="center"/>
                  </w:pPr>
                  <w:r>
                    <w:t xml:space="preserve">Presence of seed source</w:t>
                  </w:r>
                </w:p>
              </w:tc>
            </w:tr>
            <w:tr>
              <w:tc>
                <w:tcPr/>
                <w:p>
                  <w:pPr>
                    <w:pStyle w:val="Compact"/>
                    <w:jc w:val="left"/>
                    <w:jc w:val="center"/>
                  </w:pPr>
                  <w:r>
                    <w:t xml:space="preserve">1</w:t>
                  </w:r>
                </w:p>
              </w:tc>
              <w:tc>
                <w:tcPr/>
                <w:p>
                  <w:pPr>
                    <w:pStyle w:val="Compact"/>
                    <w:jc w:val="left"/>
                    <w:jc w:val="center"/>
                  </w:pPr>
                  <w:r>
                    <w:t xml:space="preserve">Stevens Brooks</w:t>
                  </w:r>
                  <w:r>
                    <w:t xml:space="preserve"> </w:t>
                  </w:r>
                  <w:r>
                    <w:rPr>
                      <w:rStyle w:val="VerbatimChar"/>
                    </w:rPr>
                    <w:t xml:space="preserve">SB_3/16B</w:t>
                  </w:r>
                </w:p>
              </w:tc>
              <w:tc>
                <w:tcPr/>
                <w:p>
                  <w:pPr>
                    <w:pStyle w:val="Compact"/>
                    <w:jc w:val="left"/>
                    <w:jc w:val="center"/>
                  </w:pPr>
                  <w:r>
                    <w:t xml:space="preserve">2017</w:t>
                  </w:r>
                </w:p>
              </w:tc>
              <w:tc>
                <w:tcPr/>
                <w:p>
                  <w:pPr>
                    <w:pStyle w:val="Compact"/>
                    <w:jc w:val="left"/>
                    <w:jc w:val="center"/>
                  </w:pPr>
                  <w:r>
                    <w:t xml:space="preserve">2010</w:t>
                  </w:r>
                </w:p>
              </w:tc>
              <w:tc>
                <w:tcPr/>
                <w:p>
                  <w:pPr>
                    <w:pStyle w:val="Compact"/>
                    <w:jc w:val="left"/>
                    <w:jc w:val="center"/>
                  </w:pPr>
                  <w:r>
                    <w:t xml:space="preserve">Shelterwood</w:t>
                  </w:r>
                </w:p>
              </w:tc>
              <w:tc>
                <w:tcPr/>
                <w:p>
                  <w:pPr>
                    <w:pStyle w:val="Compact"/>
                    <w:jc w:val="left"/>
                    <w:jc w:val="center"/>
                  </w:pPr>
                  <w:r>
                    <w:t xml:space="preserve">Yes</w:t>
                  </w:r>
                </w:p>
              </w:tc>
            </w:tr>
            <w:tr>
              <w:tc>
                <w:tcPr/>
                <w:p>
                  <w:pPr>
                    <w:pStyle w:val="Compact"/>
                    <w:jc w:val="left"/>
                    <w:jc w:val="center"/>
                  </w:pPr>
                  <w:r>
                    <w:t xml:space="preserve">1</w:t>
                  </w:r>
                </w:p>
              </w:tc>
              <w:tc>
                <w:tcPr/>
                <w:p>
                  <w:pPr>
                    <w:pStyle w:val="Compact"/>
                    <w:jc w:val="left"/>
                    <w:jc w:val="center"/>
                  </w:pPr>
                  <w:r>
                    <w:rPr>
                      <w:rStyle w:val="VerbatimChar"/>
                    </w:rPr>
                    <w:t xml:space="preserve">SB_5/15C</w:t>
                  </w:r>
                </w:p>
              </w:tc>
              <w:tc>
                <w:tcPr/>
                <w:p>
                  <w:pPr>
                    <w:pStyle w:val="Compact"/>
                    <w:jc w:val="left"/>
                    <w:jc w:val="center"/>
                  </w:pPr>
                  <w:r>
                    <w:t xml:space="preserve">-</w:t>
                  </w:r>
                </w:p>
              </w:tc>
              <w:tc>
                <w:tcPr/>
                <w:p>
                  <w:pPr>
                    <w:pStyle w:val="Compact"/>
                    <w:jc w:val="left"/>
                    <w:jc w:val="center"/>
                  </w:pPr>
                  <w:r>
                    <w:t xml:space="preserve">2011</w:t>
                  </w:r>
                </w:p>
              </w:tc>
              <w:tc>
                <w:tcPr/>
                <w:p>
                  <w:pPr>
                    <w:pStyle w:val="Compact"/>
                    <w:jc w:val="left"/>
                    <w:jc w:val="center"/>
                  </w:pPr>
                  <w:r>
                    <w:t xml:space="preserve">Shelterwood</w:t>
                  </w:r>
                </w:p>
              </w:tc>
              <w:tc>
                <w:tcPr/>
                <w:p>
                  <w:pPr>
                    <w:pStyle w:val="Compact"/>
                    <w:jc w:val="left"/>
                    <w:jc w:val="center"/>
                  </w:pPr>
                  <w:r>
                    <w:t xml:space="preserve">Yes</w:t>
                  </w:r>
                </w:p>
              </w:tc>
            </w:tr>
            <w:tr>
              <w:tc>
                <w:tcPr/>
                <w:p>
                  <w:pPr>
                    <w:pStyle w:val="Compact"/>
                    <w:jc w:val="left"/>
                    <w:jc w:val="center"/>
                  </w:pPr>
                  <w:r>
                    <w:t xml:space="preserve">2</w:t>
                  </w:r>
                </w:p>
              </w:tc>
              <w:tc>
                <w:tcPr/>
                <w:p>
                  <w:pPr>
                    <w:pStyle w:val="Compact"/>
                    <w:jc w:val="left"/>
                    <w:jc w:val="center"/>
                  </w:pPr>
                  <w:r>
                    <w:t xml:space="preserve">Hogsback</w:t>
                  </w:r>
                  <w:r>
                    <w:t xml:space="preserve"> </w:t>
                  </w:r>
                  <w:r>
                    <w:rPr>
                      <w:rStyle w:val="VerbatimChar"/>
                    </w:rPr>
                    <w:t xml:space="preserve">HOG_20/2B</w:t>
                  </w:r>
                </w:p>
              </w:tc>
              <w:tc>
                <w:tcPr/>
                <w:p>
                  <w:pPr>
                    <w:pStyle w:val="Compact"/>
                    <w:jc w:val="left"/>
                    <w:jc w:val="center"/>
                  </w:pPr>
                  <w:r>
                    <w:t xml:space="preserve">2017</w:t>
                  </w:r>
                </w:p>
              </w:tc>
              <w:tc>
                <w:tcPr/>
                <w:p>
                  <w:pPr>
                    <w:pStyle w:val="Compact"/>
                    <w:jc w:val="left"/>
                    <w:jc w:val="center"/>
                  </w:pPr>
                  <w:r>
                    <w:t xml:space="preserve">2012</w:t>
                  </w:r>
                </w:p>
              </w:tc>
              <w:tc>
                <w:tcPr/>
                <w:p>
                  <w:pPr>
                    <w:pStyle w:val="Compact"/>
                    <w:jc w:val="left"/>
                    <w:jc w:val="center"/>
                  </w:pPr>
                  <w:r>
                    <w:t xml:space="preserve">Seedtree</w:t>
                  </w:r>
                </w:p>
              </w:tc>
              <w:tc>
                <w:tcPr/>
                <w:p>
                  <w:pPr>
                    <w:pStyle w:val="Compact"/>
                    <w:jc w:val="left"/>
                    <w:jc w:val="center"/>
                  </w:pPr>
                  <w:r>
                    <w:t xml:space="preserve">Yes</w:t>
                  </w:r>
                </w:p>
              </w:tc>
            </w:tr>
            <w:tr>
              <w:tc>
                <w:tcPr/>
                <w:p>
                  <w:pPr>
                    <w:pStyle w:val="Compact"/>
                    <w:jc w:val="left"/>
                    <w:jc w:val="center"/>
                  </w:pPr>
                  <w:r>
                    <w:t xml:space="preserve">2</w:t>
                  </w:r>
                </w:p>
              </w:tc>
              <w:tc>
                <w:tcPr/>
                <w:p>
                  <w:pPr>
                    <w:pStyle w:val="Compact"/>
                    <w:jc w:val="left"/>
                    <w:jc w:val="center"/>
                  </w:pPr>
                  <w:r>
                    <w:rPr>
                      <w:rStyle w:val="VerbatimChar"/>
                    </w:rPr>
                    <w:t xml:space="preserve">HOG_3/1C</w:t>
                  </w:r>
                </w:p>
              </w:tc>
              <w:tc>
                <w:tcPr/>
                <w:p>
                  <w:pPr>
                    <w:pStyle w:val="Compact"/>
                    <w:jc w:val="left"/>
                    <w:jc w:val="center"/>
                  </w:pPr>
                  <w:r>
                    <w:t xml:space="preserve">-</w:t>
                  </w:r>
                </w:p>
              </w:tc>
              <w:tc>
                <w:tcPr/>
                <w:p>
                  <w:pPr>
                    <w:pStyle w:val="Compact"/>
                    <w:jc w:val="left"/>
                    <w:jc w:val="center"/>
                  </w:pPr>
                  <w:r>
                    <w:t xml:space="preserve">2012</w:t>
                  </w:r>
                </w:p>
              </w:tc>
              <w:tc>
                <w:tcPr/>
                <w:p>
                  <w:pPr>
                    <w:pStyle w:val="Compact"/>
                    <w:jc w:val="left"/>
                    <w:jc w:val="center"/>
                  </w:pPr>
                  <w:r>
                    <w:t xml:space="preserve">Seedtree</w:t>
                  </w:r>
                </w:p>
              </w:tc>
              <w:tc>
                <w:tcPr/>
                <w:p>
                  <w:pPr>
                    <w:pStyle w:val="Compact"/>
                    <w:jc w:val="left"/>
                    <w:jc w:val="center"/>
                  </w:pPr>
                  <w:r>
                    <w:t xml:space="preserve">Yes</w:t>
                  </w:r>
                </w:p>
              </w:tc>
            </w:tr>
            <w:tr>
              <w:tc>
                <w:tcPr/>
                <w:p>
                  <w:pPr>
                    <w:pStyle w:val="Compact"/>
                    <w:jc w:val="left"/>
                    <w:jc w:val="center"/>
                  </w:pPr>
                  <w:r>
                    <w:t xml:space="preserve">3</w:t>
                  </w:r>
                </w:p>
              </w:tc>
              <w:tc>
                <w:tcPr/>
                <w:p>
                  <w:pPr>
                    <w:pStyle w:val="Compact"/>
                    <w:jc w:val="left"/>
                    <w:jc w:val="center"/>
                  </w:pPr>
                  <w:r>
                    <w:t xml:space="preserve">Hogsback</w:t>
                  </w:r>
                  <w:r>
                    <w:t xml:space="preserve"> </w:t>
                  </w:r>
                  <w:r>
                    <w:rPr>
                      <w:rStyle w:val="VerbatimChar"/>
                    </w:rPr>
                    <w:t xml:space="preserve">HOG_28/2B</w:t>
                  </w:r>
                </w:p>
              </w:tc>
              <w:tc>
                <w:tcPr/>
                <w:p>
                  <w:pPr>
                    <w:pStyle w:val="Compact"/>
                    <w:jc w:val="left"/>
                    <w:jc w:val="center"/>
                  </w:pPr>
                  <w:r>
                    <w:t xml:space="preserve">2018</w:t>
                  </w:r>
                </w:p>
              </w:tc>
              <w:tc>
                <w:tcPr/>
                <w:p>
                  <w:pPr>
                    <w:pStyle w:val="Compact"/>
                    <w:jc w:val="left"/>
                    <w:jc w:val="center"/>
                  </w:pPr>
                  <w:r>
                    <w:t xml:space="preserve">2014</w:t>
                  </w:r>
                </w:p>
              </w:tc>
              <w:tc>
                <w:tcPr/>
                <w:p>
                  <w:pPr>
                    <w:pStyle w:val="Compact"/>
                    <w:jc w:val="left"/>
                    <w:jc w:val="center"/>
                  </w:pPr>
                  <w:r>
                    <w:t xml:space="preserve">Shelterwood</w:t>
                  </w:r>
                </w:p>
              </w:tc>
              <w:tc>
                <w:tcPr/>
                <w:p>
                  <w:pPr>
                    <w:pStyle w:val="Compact"/>
                    <w:jc w:val="left"/>
                    <w:jc w:val="center"/>
                  </w:pPr>
                  <w:r>
                    <w:t xml:space="preserve">Yes</w:t>
                  </w:r>
                </w:p>
              </w:tc>
            </w:tr>
            <w:tr>
              <w:tc>
                <w:tcPr/>
                <w:p>
                  <w:pPr>
                    <w:pStyle w:val="Compact"/>
                    <w:jc w:val="left"/>
                    <w:jc w:val="center"/>
                  </w:pPr>
                  <w:r>
                    <w:t xml:space="preserve">3</w:t>
                  </w:r>
                </w:p>
              </w:tc>
              <w:tc>
                <w:tcPr/>
                <w:p>
                  <w:pPr>
                    <w:pStyle w:val="Compact"/>
                    <w:jc w:val="left"/>
                    <w:jc w:val="center"/>
                  </w:pPr>
                  <w:r>
                    <w:rPr>
                      <w:rStyle w:val="VerbatimChar"/>
                    </w:rPr>
                    <w:t xml:space="preserve">HOG_12/2C</w:t>
                  </w:r>
                </w:p>
              </w:tc>
              <w:tc>
                <w:tcPr/>
                <w:p>
                  <w:pPr>
                    <w:pStyle w:val="Compact"/>
                    <w:jc w:val="left"/>
                    <w:jc w:val="center"/>
                  </w:pPr>
                  <w:r>
                    <w:t xml:space="preserve">-</w:t>
                  </w:r>
                </w:p>
              </w:tc>
              <w:tc>
                <w:tcPr/>
                <w:p>
                  <w:pPr>
                    <w:pStyle w:val="Compact"/>
                    <w:jc w:val="left"/>
                    <w:jc w:val="center"/>
                  </w:pPr>
                  <w:r>
                    <w:t xml:space="preserve">2013</w:t>
                  </w:r>
                </w:p>
              </w:tc>
              <w:tc>
                <w:tcPr/>
                <w:p>
                  <w:pPr>
                    <w:pStyle w:val="Compact"/>
                    <w:jc w:val="left"/>
                    <w:jc w:val="center"/>
                  </w:pPr>
                  <w:r>
                    <w:t xml:space="preserve">Shelterwood</w:t>
                  </w:r>
                </w:p>
              </w:tc>
              <w:tc>
                <w:tcPr/>
                <w:p>
                  <w:pPr>
                    <w:pStyle w:val="Compact"/>
                    <w:jc w:val="left"/>
                    <w:jc w:val="center"/>
                  </w:pPr>
                  <w:r>
                    <w:t xml:space="preserve">Yes</w:t>
                  </w:r>
                </w:p>
              </w:tc>
            </w:tr>
            <w:tr>
              <w:tc>
                <w:tcPr/>
                <w:p>
                  <w:pPr>
                    <w:pStyle w:val="Compact"/>
                    <w:jc w:val="left"/>
                    <w:jc w:val="center"/>
                  </w:pPr>
                  <w:r>
                    <w:t xml:space="preserve">4</w:t>
                  </w:r>
                </w:p>
              </w:tc>
              <w:tc>
                <w:tcPr/>
                <w:p>
                  <w:pPr>
                    <w:pStyle w:val="Compact"/>
                    <w:jc w:val="left"/>
                    <w:jc w:val="center"/>
                  </w:pPr>
                  <w:r>
                    <w:t xml:space="preserve">Crawford Notch State Park</w:t>
                  </w:r>
                  <w:r>
                    <w:t xml:space="preserve"> </w:t>
                  </w:r>
                  <w:r>
                    <w:rPr>
                      <w:rStyle w:val="VerbatimChar"/>
                    </w:rPr>
                    <w:t xml:space="preserve">CF_B</w:t>
                  </w:r>
                </w:p>
              </w:tc>
              <w:tc>
                <w:tcPr/>
                <w:p>
                  <w:pPr>
                    <w:pStyle w:val="Compact"/>
                    <w:jc w:val="left"/>
                    <w:jc w:val="center"/>
                  </w:pPr>
                  <w:r>
                    <w:t xml:space="preserve">2022</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Yes</w:t>
                  </w:r>
                </w:p>
              </w:tc>
            </w:tr>
            <w:tr>
              <w:tc>
                <w:tcPr/>
                <w:p>
                  <w:pPr>
                    <w:pStyle w:val="Compact"/>
                    <w:jc w:val="left"/>
                    <w:jc w:val="center"/>
                  </w:pPr>
                  <w:r>
                    <w:t xml:space="preserve">4</w:t>
                  </w:r>
                </w:p>
              </w:tc>
              <w:tc>
                <w:tcPr/>
                <w:p>
                  <w:pPr>
                    <w:pStyle w:val="Compact"/>
                    <w:jc w:val="left"/>
                    <w:jc w:val="center"/>
                  </w:pPr>
                  <w:r>
                    <w:rPr>
                      <w:rStyle w:val="VerbatimChar"/>
                    </w:rPr>
                    <w:t xml:space="preserve">CF_C</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w:t>
                  </w:r>
                </w:p>
              </w:tc>
              <w:tc>
                <w:tcPr/>
                <w:p>
                  <w:pPr>
                    <w:pStyle w:val="Compact"/>
                    <w:jc w:val="left"/>
                    <w:jc w:val="center"/>
                  </w:pPr>
                  <w:r>
                    <w:t xml:space="preserve">Yes</w:t>
                  </w:r>
                </w:p>
              </w:tc>
            </w:tr>
            <w:tr>
              <w:tc>
                <w:tcPr/>
                <w:p>
                  <w:pPr>
                    <w:pStyle w:val="Compact"/>
                    <w:jc w:val="left"/>
                    <w:jc w:val="center"/>
                  </w:pPr>
                  <w:r>
                    <w:t xml:space="preserve">5</w:t>
                  </w:r>
                </w:p>
              </w:tc>
              <w:tc>
                <w:tcPr/>
                <w:p>
                  <w:pPr>
                    <w:pStyle w:val="Compact"/>
                    <w:jc w:val="left"/>
                    <w:jc w:val="center"/>
                  </w:pPr>
                  <w:r>
                    <w:t xml:space="preserve">Bartlett Experimental Forest</w:t>
                  </w:r>
                  <w:r>
                    <w:t xml:space="preserve"> </w:t>
                  </w:r>
                  <w:r>
                    <w:rPr>
                      <w:rStyle w:val="VerbatimChar"/>
                    </w:rPr>
                    <w:t xml:space="preserve">BEF_44B</w:t>
                  </w:r>
                </w:p>
              </w:tc>
              <w:tc>
                <w:tcPr/>
                <w:p>
                  <w:pPr>
                    <w:pStyle w:val="Compact"/>
                    <w:jc w:val="left"/>
                    <w:jc w:val="center"/>
                  </w:pPr>
                  <w:r>
                    <w:t xml:space="preserve">2021</w:t>
                  </w:r>
                </w:p>
              </w:tc>
              <w:tc>
                <w:tcPr/>
                <w:p>
                  <w:pPr>
                    <w:pStyle w:val="Compact"/>
                    <w:jc w:val="left"/>
                    <w:jc w:val="center"/>
                  </w:pPr>
                  <w:r>
                    <w:t xml:space="preserve">2019</w:t>
                  </w:r>
                </w:p>
              </w:tc>
              <w:tc>
                <w:tcPr/>
                <w:p>
                  <w:pPr>
                    <w:pStyle w:val="Compact"/>
                    <w:jc w:val="left"/>
                    <w:jc w:val="center"/>
                  </w:pPr>
                  <w:r>
                    <w:t xml:space="preserve">Clearcut</w:t>
                  </w:r>
                </w:p>
              </w:tc>
              <w:tc>
                <w:tcPr/>
                <w:p>
                  <w:pPr>
                    <w:pStyle w:val="Compact"/>
                    <w:jc w:val="left"/>
                    <w:jc w:val="center"/>
                  </w:pPr>
                  <w:r>
                    <w:t xml:space="preserve">No</w:t>
                  </w:r>
                </w:p>
              </w:tc>
            </w:tr>
            <w:tr>
              <w:tc>
                <w:tcPr/>
                <w:p>
                  <w:pPr>
                    <w:pStyle w:val="Compact"/>
                    <w:jc w:val="left"/>
                    <w:jc w:val="center"/>
                  </w:pPr>
                  <w:r>
                    <w:t xml:space="preserve">5</w:t>
                  </w:r>
                </w:p>
              </w:tc>
              <w:tc>
                <w:tcPr/>
                <w:p>
                  <w:pPr>
                    <w:pStyle w:val="Compact"/>
                    <w:jc w:val="left"/>
                    <w:jc w:val="center"/>
                  </w:pPr>
                  <w:r>
                    <w:rPr>
                      <w:rStyle w:val="VerbatimChar"/>
                    </w:rPr>
                    <w:t xml:space="preserve">BEF_45C</w:t>
                  </w:r>
                </w:p>
              </w:tc>
              <w:tc>
                <w:tcPr/>
                <w:p>
                  <w:pPr>
                    <w:pStyle w:val="Compact"/>
                    <w:jc w:val="left"/>
                    <w:jc w:val="center"/>
                  </w:pPr>
                  <w:r>
                    <w:t xml:space="preserve">-</w:t>
                  </w:r>
                </w:p>
              </w:tc>
              <w:tc>
                <w:tcPr/>
                <w:p>
                  <w:pPr>
                    <w:pStyle w:val="Compact"/>
                    <w:jc w:val="left"/>
                    <w:jc w:val="center"/>
                  </w:pPr>
                  <w:r>
                    <w:t xml:space="preserve">2019</w:t>
                  </w:r>
                </w:p>
              </w:tc>
              <w:tc>
                <w:tcPr/>
                <w:p>
                  <w:pPr>
                    <w:pStyle w:val="Compact"/>
                    <w:jc w:val="left"/>
                    <w:jc w:val="center"/>
                  </w:pPr>
                  <w:r>
                    <w:t xml:space="preserve">Clearcut</w:t>
                  </w:r>
                </w:p>
              </w:tc>
              <w:tc>
                <w:tcPr/>
                <w:p>
                  <w:pPr>
                    <w:pStyle w:val="Compact"/>
                    <w:jc w:val="left"/>
                    <w:jc w:val="center"/>
                  </w:pPr>
                  <w:r>
                    <w:t xml:space="preserve">No</w:t>
                  </w:r>
                </w:p>
              </w:tc>
            </w:tr>
            <w:tr>
              <w:tc>
                <w:tcPr/>
                <w:p>
                  <w:pPr>
                    <w:pStyle w:val="Compact"/>
                    <w:jc w:val="left"/>
                    <w:jc w:val="center"/>
                  </w:pPr>
                  <w:r>
                    <w:t xml:space="preserve">6</w:t>
                  </w:r>
                </w:p>
              </w:tc>
              <w:tc>
                <w:tcPr/>
                <w:p>
                  <w:pPr>
                    <w:pStyle w:val="Compact"/>
                    <w:jc w:val="left"/>
                    <w:jc w:val="center"/>
                  </w:pPr>
                  <w:r>
                    <w:t xml:space="preserve">Bartlett Experimental Forest</w:t>
                  </w:r>
                  <w:r>
                    <w:t xml:space="preserve"> </w:t>
                  </w:r>
                  <w:r>
                    <w:rPr>
                      <w:rStyle w:val="VerbatimChar"/>
                    </w:rPr>
                    <w:t xml:space="preserve">BEF_46B</w:t>
                  </w:r>
                </w:p>
              </w:tc>
              <w:tc>
                <w:tcPr/>
                <w:p>
                  <w:pPr>
                    <w:pStyle w:val="Compact"/>
                    <w:jc w:val="left"/>
                    <w:jc w:val="center"/>
                  </w:pPr>
                  <w:r>
                    <w:t xml:space="preserve">2021</w:t>
                  </w:r>
                </w:p>
              </w:tc>
              <w:tc>
                <w:tcPr/>
                <w:p>
                  <w:pPr>
                    <w:pStyle w:val="Compact"/>
                    <w:jc w:val="left"/>
                    <w:jc w:val="center"/>
                  </w:pPr>
                  <w:r>
                    <w:t xml:space="preserve">2019</w:t>
                  </w:r>
                </w:p>
              </w:tc>
              <w:tc>
                <w:tcPr/>
                <w:p>
                  <w:pPr>
                    <w:pStyle w:val="Compact"/>
                    <w:jc w:val="left"/>
                    <w:jc w:val="center"/>
                  </w:pPr>
                  <w:r>
                    <w:t xml:space="preserve">Clearcut</w:t>
                  </w:r>
                </w:p>
              </w:tc>
              <w:tc>
                <w:tcPr/>
                <w:p>
                  <w:pPr>
                    <w:pStyle w:val="Compact"/>
                    <w:jc w:val="left"/>
                    <w:jc w:val="center"/>
                  </w:pPr>
                  <w:r>
                    <w:t xml:space="preserve">No</w:t>
                  </w:r>
                </w:p>
              </w:tc>
            </w:tr>
            <w:tr>
              <w:tc>
                <w:tcPr/>
                <w:p>
                  <w:pPr>
                    <w:pStyle w:val="Compact"/>
                    <w:jc w:val="left"/>
                    <w:jc w:val="center"/>
                  </w:pPr>
                  <w:r>
                    <w:t xml:space="preserve">6</w:t>
                  </w:r>
                </w:p>
              </w:tc>
              <w:tc>
                <w:tcPr/>
                <w:p>
                  <w:pPr>
                    <w:pStyle w:val="Compact"/>
                    <w:jc w:val="left"/>
                    <w:jc w:val="center"/>
                  </w:pPr>
                  <w:r>
                    <w:rPr>
                      <w:rStyle w:val="VerbatimChar"/>
                    </w:rPr>
                    <w:t xml:space="preserve">BEF_46C</w:t>
                  </w:r>
                </w:p>
              </w:tc>
              <w:tc>
                <w:tcPr/>
                <w:p>
                  <w:pPr>
                    <w:pStyle w:val="Compact"/>
                    <w:jc w:val="left"/>
                    <w:jc w:val="center"/>
                  </w:pPr>
                  <w:r>
                    <w:t xml:space="preserve">-</w:t>
                  </w:r>
                </w:p>
              </w:tc>
              <w:tc>
                <w:tcPr/>
                <w:p>
                  <w:pPr>
                    <w:pStyle w:val="Compact"/>
                    <w:jc w:val="left"/>
                    <w:jc w:val="center"/>
                  </w:pPr>
                  <w:r>
                    <w:t xml:space="preserve">2019</w:t>
                  </w:r>
                </w:p>
              </w:tc>
              <w:tc>
                <w:tcPr/>
                <w:p>
                  <w:pPr>
                    <w:pStyle w:val="Compact"/>
                    <w:jc w:val="left"/>
                    <w:jc w:val="center"/>
                  </w:pPr>
                  <w:r>
                    <w:t xml:space="preserve">Clearcut</w:t>
                  </w:r>
                </w:p>
              </w:tc>
              <w:tc>
                <w:tcPr/>
                <w:p>
                  <w:pPr>
                    <w:pStyle w:val="Compact"/>
                    <w:jc w:val="left"/>
                    <w:jc w:val="center"/>
                  </w:pPr>
                  <w:r>
                    <w:t xml:space="preserve">No</w:t>
                  </w:r>
                </w:p>
              </w:tc>
            </w:tr>
          </w:tbl>
          <w:bookmarkEnd w:id="24"/>
          <w:p/>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28" w:name="fig-map"/>
          <w:p>
            <w:pPr>
              <w:pStyle w:val="Compact"/>
              <w:jc w:val="center"/>
            </w:pPr>
            <w:r>
              <w:drawing>
                <wp:inline>
                  <wp:extent cx="5334000" cy="3760139"/>
                  <wp:effectExtent b="0" l="0" r="0" t="0"/>
                  <wp:docPr descr="" title="" id="26" name="Picture"/>
                  <a:graphic>
                    <a:graphicData uri="http://schemas.openxmlformats.org/drawingml/2006/picture">
                      <pic:pic>
                        <pic:nvPicPr>
                          <pic:cNvPr descr="images/finalmap2.png" id="27" name="Picture"/>
                          <pic:cNvPicPr>
                            <a:picLocks noChangeArrowheads="1" noChangeAspect="1"/>
                          </pic:cNvPicPr>
                        </pic:nvPicPr>
                        <pic:blipFill>
                          <a:blip r:embed="rId25"/>
                          <a:stretch>
                            <a:fillRect/>
                          </a:stretch>
                        </pic:blipFill>
                        <pic:spPr bwMode="auto">
                          <a:xfrm>
                            <a:off x="0" y="0"/>
                            <a:ext cx="5334000" cy="37601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Map of where stand pairs are located. Burn years are displayed for burned stands, and a color is assigned to each pair: SB shelterwoods (1) in orange, HOG seed tree harvests (2) in yellow and shelterwoods (3) in grey, CF wildfire (4) in green, and BEF clearcuts (5, 6) in blue. Inset map shows location of White Mountain National Forest within New Hampshire, USA.</w:t>
            </w:r>
          </w:p>
          <w:bookmarkEnd w:id="28"/>
        </w:tc>
      </w:tr>
    </w:tbl>
    <w:bookmarkEnd w:id="29"/>
    <w:bookmarkStart w:id="32" w:name="field-data-collection"/>
    <w:p>
      <w:pPr>
        <w:pStyle w:val="Heading2"/>
      </w:pPr>
      <w:r>
        <w:t xml:space="preserve">2.2 Field data collection</w:t>
      </w:r>
    </w:p>
    <w:bookmarkStart w:id="30" w:name="site-characterization"/>
    <w:p>
      <w:pPr>
        <w:pStyle w:val="Heading3"/>
      </w:pPr>
      <w:r>
        <w:t xml:space="preserve">2.2.1 Site characterization</w:t>
      </w:r>
    </w:p>
    <w:p>
      <w:pPr>
        <w:pStyle w:val="FirstParagraph"/>
      </w:pPr>
      <w:r>
        <w:t xml:space="preserve">In summer 2023, transects (50 -225 m long) were laid 30 to 50 m apart to sample the variety of light and soil conditions in each study stand. Along a transect is a series of 1 m² quadrats (hereafter referred to as</w:t>
      </w:r>
      <w:r>
        <w:t xml:space="preserve"> </w:t>
      </w:r>
      <w:r>
        <w:t xml:space="preserve">“</w:t>
      </w:r>
      <w:r>
        <w:t xml:space="preserve">plots</w:t>
      </w:r>
      <w:r>
        <w:t xml:space="preserve">”</w:t>
      </w:r>
      <w:r>
        <w:t xml:space="preserve">) spaced 10 m apart from their centers. In total, there were 43 transects laid in 6 pairs of burn-control stands, amounting to 393 plots. Percent slope, aspect, microtopography, burn evidence, and Q. rubra litter presence were recorded for each plot. Slope was determined with a hypsometer and later validated with topography maps, and aspect with a compass. Microtopography was described qualitatively, and burn evidence at the plot scale was confirmed with charcoal presence under the litter layer. Surface cover was estimated in categories including bare soil, woody debris, leaf litter, and rock. Live vegetation cover below breast height was also estimated visually. Woody species with DBH smaller than 2 cm were identified and their stems counted.</w:t>
      </w:r>
    </w:p>
    <w:p>
      <w:pPr>
        <w:pStyle w:val="BodyText"/>
      </w:pPr>
      <w:r>
        <w:t xml:space="preserve">In July-August 2024, leaf area index (LAI) measurements were made at the center of each plot as a metric of light availability. The LI-COR LAI-2200C Plant Canopy Analyzer was positioned at ~50 cm height to assess the light availability to seedlings. LAI data was then matched, calibrated, and analyzed using the LI-COR FV2200 software.</w:t>
      </w:r>
    </w:p>
    <w:bookmarkEnd w:id="30"/>
    <w:bookmarkStart w:id="31" w:name="Xb1cef467ee533dc8f7373c32b80d9c11c39767d"/>
    <w:p>
      <w:pPr>
        <w:pStyle w:val="Heading3"/>
      </w:pPr>
      <w:r>
        <w:t xml:space="preserve">2.2.2 Seedling measurements and sample collection</w:t>
      </w:r>
    </w:p>
    <w:p>
      <w:pPr>
        <w:pStyle w:val="FirstParagraph"/>
      </w:pPr>
      <w:r>
        <w:t xml:space="preserve">In summer 2023, any</w:t>
      </w:r>
      <w:r>
        <w:t xml:space="preserve"> </w:t>
      </w:r>
      <w:r>
        <w:rPr>
          <w:i/>
          <w:iCs/>
        </w:rPr>
        <w:t xml:space="preserve">Q. rubra</w:t>
      </w:r>
      <w:r>
        <w:t xml:space="preserve"> </w:t>
      </w:r>
      <w:r>
        <w:t xml:space="preserve">seedlings present in the 1 m</w:t>
      </w:r>
      <w:r>
        <w:rPr>
          <w:vertAlign w:val="superscript"/>
        </w:rPr>
        <w:t xml:space="preserve">2</w:t>
      </w:r>
      <w:r>
        <w:t xml:space="preserve"> </w:t>
      </w:r>
      <w:r>
        <w:t xml:space="preserve">plots were tagged, aged, measured for height (cm) and diameter at root collar (DRC, mm), and checked for evidence of herbivory and pathogen damage. In summer 2024, they were resurveyed twice, once in June and again in August, to quantify growth between the two growth seasons and within this season alone. At this time, we also counted the number of leaves and number of live and dead branches. Herbivory and pathogen damage were quantified percentage-wise as well as described qualitatively. </w:t>
      </w:r>
    </w:p>
    <w:p>
      <w:pPr>
        <w:pStyle w:val="BodyText"/>
      </w:pPr>
      <w:r>
        <w:t xml:space="preserve">Within a 5 m radius of each plot center, trees &gt;2 cm DBH were identified and measured. The number of</w:t>
      </w:r>
      <w:r>
        <w:t xml:space="preserve"> </w:t>
      </w:r>
      <w:r>
        <w:rPr>
          <w:i/>
          <w:iCs/>
        </w:rPr>
        <w:t xml:space="preserve">Q. rubra</w:t>
      </w:r>
      <w:r>
        <w:t xml:space="preserve"> </w:t>
      </w:r>
      <w:r>
        <w:t xml:space="preserve">seedlings was also counted. In summer 2024, seedling abundance was re-estimated twice, once at the beginning and again at the end of the season.</w:t>
      </w:r>
    </w:p>
    <w:bookmarkEnd w:id="31"/>
    <w:bookmarkEnd w:id="32"/>
    <w:bookmarkStart w:id="33" w:name="data-visualization-and-analysis"/>
    <w:p>
      <w:pPr>
        <w:pStyle w:val="Heading2"/>
      </w:pPr>
      <w:r>
        <w:t xml:space="preserve">2.3 Data visualization and analysis</w:t>
      </w:r>
    </w:p>
    <w:p>
      <w:pPr>
        <w:pStyle w:val="FirstParagraph"/>
      </w:pPr>
      <w:r>
        <w:t xml:space="preserve">Plot-level stem and seedling counts and basal areas were expressed per hectare. Box plot graphs of seedling counts and various abovementioned growth measurements as well as LAI measurements were also constructed. Suitable statistical analyses, mostly analysis of variance (ANOVA) with blocking, were carried out in R version 4.4.0 for each response variable to test for hypothesized differences between prescribed fire and control pairs. Response variables included LAI values, seedling density, DRC, extension growth, and number of leaves. Data visualization and analysis packages included</w:t>
      </w:r>
      <w:r>
        <w:t xml:space="preserve"> </w:t>
      </w:r>
      <w:r>
        <w:rPr>
          <w:rStyle w:val="VerbatimChar"/>
        </w:rPr>
        <w:t xml:space="preserve">forcats</w:t>
      </w:r>
      <w:r>
        <w:t xml:space="preserve">,</w:t>
      </w:r>
      <w:r>
        <w:t xml:space="preserve"> </w:t>
      </w:r>
      <w:r>
        <w:rPr>
          <w:rStyle w:val="VerbatimChar"/>
        </w:rPr>
        <w:t xml:space="preserve">ggplot2</w:t>
      </w:r>
      <w:r>
        <w:t xml:space="preserve">,</w:t>
      </w:r>
      <w:r>
        <w:t xml:space="preserve"> </w:t>
      </w:r>
      <w:r>
        <w:rPr>
          <w:rStyle w:val="VerbatimChar"/>
        </w:rPr>
        <w:t xml:space="preserve">tidyverse</w:t>
      </w:r>
      <w:r>
        <w:t xml:space="preserve">,</w:t>
      </w:r>
      <w:r>
        <w:t xml:space="preserve"> </w:t>
      </w:r>
      <w:r>
        <w:rPr>
          <w:rStyle w:val="VerbatimChar"/>
        </w:rPr>
        <w:t xml:space="preserve">dplyr</w:t>
      </w:r>
      <w:r>
        <w:t xml:space="preserve">,</w:t>
      </w:r>
      <w:r>
        <w:t xml:space="preserve"> </w:t>
      </w:r>
      <w:r>
        <w:rPr>
          <w:rStyle w:val="VerbatimChar"/>
        </w:rPr>
        <w:t xml:space="preserve">gt</w:t>
      </w:r>
      <w:r>
        <w:t xml:space="preserve">,</w:t>
      </w:r>
      <w:r>
        <w:t xml:space="preserve"> </w:t>
      </w:r>
      <w:r>
        <w:rPr>
          <w:rStyle w:val="VerbatimChar"/>
        </w:rPr>
        <w:t xml:space="preserve">car</w:t>
      </w:r>
      <w:r>
        <w:t xml:space="preserve">,</w:t>
      </w:r>
      <w:r>
        <w:t xml:space="preserve"> </w:t>
      </w:r>
      <w:r>
        <w:rPr>
          <w:rStyle w:val="VerbatimChar"/>
        </w:rPr>
        <w:t xml:space="preserve">rstatix</w:t>
      </w:r>
      <w:r>
        <w:t xml:space="preserve">, and</w:t>
      </w:r>
      <w:r>
        <w:t xml:space="preserve"> </w:t>
      </w:r>
      <w:r>
        <w:rPr>
          <w:rStyle w:val="VerbatimChar"/>
        </w:rPr>
        <w:t xml:space="preserve">ggpubr</w:t>
      </w:r>
      <w:r>
        <w:t xml:space="preserve">.</w:t>
      </w:r>
    </w:p>
    <w:bookmarkEnd w:id="33"/>
    <w:bookmarkEnd w:id="34"/>
    <w:bookmarkStart w:id="57" w:name="results"/>
    <w:p>
      <w:pPr>
        <w:pStyle w:val="Heading1"/>
      </w:pPr>
      <w:r>
        <w:t xml:space="preserve">3. Results</w:t>
      </w:r>
    </w:p>
    <w:bookmarkStart w:id="47" w:name="stand-characterization"/>
    <w:p>
      <w:pPr>
        <w:pStyle w:val="Heading2"/>
      </w:pPr>
      <w:r>
        <w:t xml:space="preserve">3.1 Stand characterization</w:t>
      </w:r>
    </w:p>
    <w:p>
      <w:pPr>
        <w:pStyle w:val="FirstParagraph"/>
      </w:pPr>
      <w:r>
        <w:t xml:space="preserve">In the understory of the burned stands,</w:t>
      </w:r>
      <w:r>
        <w:t xml:space="preserve"> </w:t>
      </w:r>
      <w:r>
        <w:rPr>
          <w:i/>
          <w:iCs/>
        </w:rPr>
        <w:t xml:space="preserve">Q. rubra</w:t>
      </w:r>
      <w:r>
        <w:t xml:space="preserve"> </w:t>
      </w:r>
      <w:r>
        <w:t xml:space="preserve">mainly competes with early successional seedlings e.g. raspberries (</w:t>
      </w:r>
      <w:r>
        <w:rPr>
          <w:i/>
          <w:iCs/>
        </w:rPr>
        <w:t xml:space="preserve">Rubus spp.</w:t>
      </w:r>
      <w:r>
        <w:t xml:space="preserve">),</w:t>
      </w:r>
      <w:r>
        <w:t xml:space="preserve"> </w:t>
      </w:r>
      <w:r>
        <w:rPr>
          <w:i/>
          <w:iCs/>
        </w:rPr>
        <w:t xml:space="preserve">A. rubrum</w:t>
      </w:r>
      <w:r>
        <w:t xml:space="preserve">, yellow birch (</w:t>
      </w:r>
      <w:r>
        <w:rPr>
          <w:i/>
          <w:iCs/>
        </w:rPr>
        <w:t xml:space="preserve">Betula alleghaniensis</w:t>
      </w:r>
      <w:r>
        <w:t xml:space="preserve">) and stump sprouts e.g. </w:t>
      </w:r>
      <w:r>
        <w:rPr>
          <w:i/>
          <w:iCs/>
        </w:rPr>
        <w:t xml:space="preserve">F. grandifolia</w:t>
      </w:r>
      <w:r>
        <w:t xml:space="preserve"> </w:t>
      </w:r>
      <w:r>
        <w:t xml:space="preserve">(</w:t>
      </w:r>
      <w:hyperlink w:anchor="fig-understory">
        <w:r>
          <w:rPr>
            <w:rStyle w:val="Hyperlink"/>
          </w:rPr>
          <w:t xml:space="preserve">Figure 2</w:t>
        </w:r>
      </w:hyperlink>
      <w:r>
        <w:t xml:space="preserve">).</w:t>
      </w:r>
      <w:r>
        <w:t xml:space="preserve"> </w:t>
      </w:r>
      <w:r>
        <w:rPr>
          <w:i/>
          <w:iCs/>
        </w:rPr>
        <w:t xml:space="preserve">Rubus</w:t>
      </w:r>
      <w:r>
        <w:t xml:space="preserve"> </w:t>
      </w:r>
      <w:r>
        <w:t xml:space="preserve">is prevalent in all but Pair 4, ranging from 14000 stems per hectare in Pair 5 to 102000 stems ha</w:t>
      </w:r>
      <w:r>
        <w:rPr>
          <w:vertAlign w:val="superscript"/>
        </w:rPr>
        <w:t xml:space="preserve">-1</w:t>
      </w:r>
      <w:r>
        <w:t xml:space="preserve"> </w:t>
      </w:r>
      <w:r>
        <w:t xml:space="preserve">in Pair 6.</w:t>
      </w:r>
      <w:r>
        <w:t xml:space="preserve"> </w:t>
      </w:r>
      <w:r>
        <w:rPr>
          <w:i/>
          <w:iCs/>
        </w:rPr>
        <w:t xml:space="preserve">A. rubrum</w:t>
      </w:r>
      <w:r>
        <w:t xml:space="preserve"> </w:t>
      </w:r>
      <w:r>
        <w:t xml:space="preserve">was abundant only among Pairs 1, 2, and 3 and is more abundant in burned stands than in control stands e.g., with a stem density of 57000 ha</w:t>
      </w:r>
      <w:r>
        <w:rPr>
          <w:vertAlign w:val="superscript"/>
        </w:rPr>
        <w:t xml:space="preserve">-1</w:t>
      </w:r>
      <w:r>
        <w:t xml:space="preserve"> </w:t>
      </w:r>
      <w:r>
        <w:t xml:space="preserve">in the former versus 40000 in the latter in Pair 1.</w:t>
      </w:r>
      <w:r>
        <w:t xml:space="preserve"> </w:t>
      </w:r>
      <w:r>
        <w:rPr>
          <w:i/>
          <w:iCs/>
        </w:rPr>
        <w:t xml:space="preserve">B. alleghaniensis</w:t>
      </w:r>
      <w:r>
        <w:t xml:space="preserve"> </w:t>
      </w:r>
      <w:r>
        <w:t xml:space="preserve">follows a similar pattern while</w:t>
      </w:r>
      <w:r>
        <w:t xml:space="preserve"> </w:t>
      </w:r>
      <w:r>
        <w:rPr>
          <w:i/>
          <w:iCs/>
        </w:rPr>
        <w:t xml:space="preserve">F. grandifolia</w:t>
      </w:r>
      <w:r>
        <w:t xml:space="preserve"> </w:t>
      </w:r>
      <w:r>
        <w:t xml:space="preserve">is most common in Pair 4, especially the burned stand with 17000 stems ha</w:t>
      </w:r>
      <w:r>
        <w:rPr>
          <w:vertAlign w:val="superscript"/>
        </w:rPr>
        <w:t xml:space="preserve">-1</w:t>
      </w:r>
      <w:r>
        <w:t xml:space="preserve"> </w:t>
      </w:r>
      <w:r>
        <w:t xml:space="preserve">compared to 2000 in the control stand.</w:t>
      </w:r>
    </w:p>
    <w:tbl>
      <w:tblPr>
        <w:tblStyle w:val="Table"/>
        <w:tblW w:type="pct" w:w="5000"/>
        <w:tblLayout w:type="fixed"/>
        <w:tblLook w:firstRow="0" w:lastRow="0" w:firstColumn="0" w:lastColumn="0" w:noHBand="0" w:noVBand="0" w:val="0000"/>
      </w:tblPr>
      <w:tblGrid>
        <w:gridCol w:w="7920"/>
      </w:tblGrid>
      <w:tr>
        <w:tc>
          <w:tcPr/>
          <w:bookmarkStart w:id="38" w:name="fig-understory"/>
          <w:p>
            <w:pPr>
              <w:pStyle w:val="Compact"/>
              <w:jc w:val="center"/>
            </w:pPr>
            <w:r>
              <w:drawing>
                <wp:inline>
                  <wp:extent cx="5334000" cy="2133600"/>
                  <wp:effectExtent b="0" l="0" r="0" t="0"/>
                  <wp:docPr descr="" title="" id="36" name="Picture"/>
                  <a:graphic>
                    <a:graphicData uri="http://schemas.openxmlformats.org/drawingml/2006/picture">
                      <pic:pic>
                        <pic:nvPicPr>
                          <pic:cNvPr descr="Ton_FEMpaper_files/figure-docx/fig-understory-1.png" id="37" name="Picture"/>
                          <pic:cNvPicPr>
                            <a:picLocks noChangeArrowheads="1" noChangeAspect="1"/>
                          </pic:cNvPicPr>
                        </pic:nvPicPr>
                        <pic:blipFill>
                          <a:blip r:embed="rId35"/>
                          <a:stretch>
                            <a:fillRect/>
                          </a:stretch>
                        </pic:blipFill>
                        <pic:spPr bwMode="auto">
                          <a:xfrm>
                            <a:off x="0" y="0"/>
                            <a:ext cx="5334000" cy="2133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Stem density per hectare of the most abundant understory species in 2023 by stand pairs.</w:t>
            </w:r>
          </w:p>
          <w:bookmarkEnd w:id="38"/>
        </w:tc>
      </w:tr>
    </w:tbl>
    <w:p>
      <w:pPr>
        <w:pStyle w:val="BodyText"/>
      </w:pPr>
      <w:r>
        <w:t xml:space="preserve">Study stands’ basal areas are a reflection of their harvesting methods more than whether or not they were burned (</w:t>
      </w:r>
      <w:hyperlink w:anchor="fig-overstory">
        <w:r>
          <w:rPr>
            <w:rStyle w:val="Hyperlink"/>
          </w:rPr>
          <w:t xml:space="preserve">Figure 3</w:t>
        </w:r>
      </w:hyperlink>
      <w:r>
        <w:t xml:space="preserve">). Having been clearcut more recently and hence absent of trees of 20 cm and above in DBH, Pairs 5 and 6 have effectively zero basal area compared to others with 18.3 (burned stand in Pair 2) to 37.9 m</w:t>
      </w:r>
      <w:r>
        <w:rPr>
          <w:vertAlign w:val="superscript"/>
        </w:rPr>
        <w:t xml:space="preserve">2</w:t>
      </w:r>
      <w:r>
        <w:t xml:space="preserve"> </w:t>
      </w:r>
      <w:r>
        <w:t xml:space="preserve">(burned stand in Pair 1). Their compositions are also the least diverse, consisting of cherries (</w:t>
      </w:r>
      <w:r>
        <w:rPr>
          <w:i/>
          <w:iCs/>
        </w:rPr>
        <w:t xml:space="preserve">Prunus</w:t>
      </w:r>
      <w:r>
        <w:t xml:space="preserve">), aspens (</w:t>
      </w:r>
      <w:r>
        <w:rPr>
          <w:i/>
          <w:iCs/>
        </w:rPr>
        <w:t xml:space="preserve">Populus</w:t>
      </w:r>
      <w:r>
        <w:t xml:space="preserve">), and</w:t>
      </w:r>
      <w:r>
        <w:t xml:space="preserve"> </w:t>
      </w:r>
      <w:r>
        <w:rPr>
          <w:i/>
          <w:iCs/>
        </w:rPr>
        <w:t xml:space="preserve">Betula spp</w:t>
      </w:r>
      <w:r>
        <w:t xml:space="preserve">. The remaining stands have a significant presence of mature</w:t>
      </w:r>
      <w:r>
        <w:t xml:space="preserve"> </w:t>
      </w:r>
      <w:r>
        <w:rPr>
          <w:i/>
          <w:iCs/>
        </w:rPr>
        <w:t xml:space="preserve">Q. rubra</w:t>
      </w:r>
      <w:r>
        <w:t xml:space="preserve"> </w:t>
      </w:r>
      <w:r>
        <w:t xml:space="preserve">as well as</w:t>
      </w:r>
      <w:r>
        <w:t xml:space="preserve"> </w:t>
      </w:r>
      <w:r>
        <w:rPr>
          <w:i/>
          <w:iCs/>
        </w:rPr>
        <w:t xml:space="preserve">Acer</w:t>
      </w:r>
      <w:r>
        <w:t xml:space="preserve"> </w:t>
      </w:r>
      <w:r>
        <w:t xml:space="preserve">and</w:t>
      </w:r>
      <w:r>
        <w:t xml:space="preserve"> </w:t>
      </w:r>
      <w:r>
        <w:rPr>
          <w:i/>
          <w:iCs/>
        </w:rPr>
        <w:t xml:space="preserve">Betula</w:t>
      </w:r>
      <w:r>
        <w:t xml:space="preserve"> </w:t>
      </w:r>
      <w:r>
        <w:rPr>
          <w:i/>
          <w:iCs/>
        </w:rPr>
        <w:t xml:space="preserve">spp</w:t>
      </w:r>
      <w:r>
        <w:t xml:space="preserve">. of mid-ranged DBH classes. Additionally, Pair 1’s overstory composition includes a large basal area of high-DBH</w:t>
      </w:r>
      <w:r>
        <w:t xml:space="preserve"> </w:t>
      </w:r>
      <w:r>
        <w:rPr>
          <w:i/>
          <w:iCs/>
        </w:rPr>
        <w:t xml:space="preserve">P. strobus</w:t>
      </w:r>
      <w:r>
        <w:t xml:space="preserve">, though only made up by a few individual trees.</w:t>
      </w:r>
      <w:r>
        <w:t xml:space="preserve"> </w:t>
      </w:r>
      <w:r>
        <w:rPr>
          <w:i/>
          <w:iCs/>
        </w:rPr>
        <w:t xml:space="preserve">Q. rubra</w:t>
      </w:r>
      <w:r>
        <w:t xml:space="preserve">’s basal areas averaged 11±2 m</w:t>
      </w:r>
      <w:r>
        <w:rPr>
          <w:vertAlign w:val="superscript"/>
        </w:rPr>
        <w:t xml:space="preserve">2</w:t>
      </w:r>
      <w:r>
        <w:t xml:space="preserve">/ha across all stands, far exceeding those of other dominant genera (Appendix, Table 1). More standing dead trees were recorded in the burned stands, with</w:t>
      </w:r>
      <w:r>
        <w:t xml:space="preserve"> </w:t>
      </w:r>
      <w:r>
        <w:rPr>
          <w:i/>
          <w:iCs/>
        </w:rPr>
        <w:t xml:space="preserve">F. grandifolia</w:t>
      </w:r>
      <w:r>
        <w:t xml:space="preserve"> </w:t>
      </w:r>
      <w:r>
        <w:t xml:space="preserve">suffering the highest mortality rate (43% of basal area occupied by dead trees).</w:t>
      </w:r>
    </w:p>
    <w:tbl>
      <w:tblPr>
        <w:tblStyle w:val="Table"/>
        <w:tblW w:type="pct" w:w="5000"/>
        <w:tblLayout w:type="fixed"/>
        <w:tblLook w:firstRow="0" w:lastRow="0" w:firstColumn="0" w:lastColumn="0" w:noHBand="0" w:noVBand="0" w:val="0000"/>
      </w:tblPr>
      <w:tblGrid>
        <w:gridCol w:w="7920"/>
      </w:tblGrid>
      <w:tr>
        <w:tc>
          <w:tcPr/>
          <w:bookmarkStart w:id="42" w:name="fig-overstory"/>
          <w:p>
            <w:pPr>
              <w:pStyle w:val="Compact"/>
              <w:jc w:val="center"/>
            </w:pPr>
            <w:r>
              <w:drawing>
                <wp:inline>
                  <wp:extent cx="5334000" cy="5334000"/>
                  <wp:effectExtent b="0" l="0" r="0" t="0"/>
                  <wp:docPr descr="" title="" id="40" name="Picture"/>
                  <a:graphic>
                    <a:graphicData uri="http://schemas.openxmlformats.org/drawingml/2006/picture">
                      <pic:pic>
                        <pic:nvPicPr>
                          <pic:cNvPr descr="Ton_FEMpaper_files/figure-docx/fig-overstory-1.png" id="41" name="Picture"/>
                          <pic:cNvPicPr>
                            <a:picLocks noChangeArrowheads="1" noChangeAspect="1"/>
                          </pic:cNvPicPr>
                        </pic:nvPicPr>
                        <pic:blipFill>
                          <a:blip r:embed="rId39"/>
                          <a:stretch>
                            <a:fillRect/>
                          </a:stretch>
                        </pic:blipFill>
                        <pic:spPr bwMode="auto">
                          <a:xfrm>
                            <a:off x="0" y="0"/>
                            <a:ext cx="5334000" cy="5334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Basal area per hectare of overstory species in 2023 (y-axis) by burn treatments (columns), study stands (rows), and DBH size classes (x-axis).</w:t>
            </w:r>
          </w:p>
          <w:bookmarkEnd w:id="42"/>
        </w:tc>
      </w:tr>
    </w:tbl>
    <w:p>
      <w:pPr>
        <w:pStyle w:val="BodyText"/>
      </w:pPr>
      <w:r>
        <w:t xml:space="preserve">Burned stands have lower LAI values (averaging 3.2±0.2) than control stands (5.4±0.2, p&lt;0.001) (</w:t>
      </w:r>
      <w:hyperlink w:anchor="fig-lai">
        <w:r>
          <w:rPr>
            <w:rStyle w:val="Hyperlink"/>
          </w:rPr>
          <w:t xml:space="preserve">Figure 4</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6" w:name="fig-lai"/>
          <w:p>
            <w:pPr>
              <w:pStyle w:val="Compact"/>
              <w:jc w:val="center"/>
            </w:pPr>
            <w:r>
              <w:drawing>
                <wp:inline>
                  <wp:extent cx="5334000" cy="3556000"/>
                  <wp:effectExtent b="0" l="0" r="0" t="0"/>
                  <wp:docPr descr="" title="" id="44" name="Picture"/>
                  <a:graphic>
                    <a:graphicData uri="http://schemas.openxmlformats.org/drawingml/2006/picture">
                      <pic:pic>
                        <pic:nvPicPr>
                          <pic:cNvPr descr="Ton_FEMpaper_files/figure-docx/fig-lai-1.png" id="45" name="Picture"/>
                          <pic:cNvPicPr>
                            <a:picLocks noChangeArrowheads="1" noChangeAspect="1"/>
                          </pic:cNvPicPr>
                        </pic:nvPicPr>
                        <pic:blipFill>
                          <a:blip r:embed="rId43"/>
                          <a:stretch>
                            <a:fillRect/>
                          </a:stretch>
                        </pic:blipFill>
                        <pic:spPr bwMode="auto">
                          <a:xfrm>
                            <a:off x="0" y="0"/>
                            <a:ext cx="5334000" cy="3556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Leaf area index (LAI) values in 2024 (y-axis) by stand pairs (x-axis),error bars = ±1 SE.</w:t>
            </w:r>
          </w:p>
          <w:bookmarkEnd w:id="46"/>
        </w:tc>
      </w:tr>
    </w:tbl>
    <w:bookmarkEnd w:id="47"/>
    <w:bookmarkStart w:id="56" w:name="X9881491e80257d53c93a1035d4be985c22eaf5b"/>
    <w:p>
      <w:pPr>
        <w:pStyle w:val="Heading2"/>
      </w:pPr>
      <w:r>
        <w:t xml:space="preserve">3.2</w:t>
      </w:r>
      <w:r>
        <w:t xml:space="preserve"> </w:t>
      </w:r>
      <w:r>
        <w:rPr>
          <w:i/>
          <w:iCs/>
        </w:rPr>
        <w:t xml:space="preserve">Q. rubra</w:t>
      </w:r>
      <w:r>
        <w:t xml:space="preserve"> </w:t>
      </w:r>
      <w:r>
        <w:t xml:space="preserve">seedling density and measurements in the field</w:t>
      </w:r>
    </w:p>
    <w:p>
      <w:pPr>
        <w:pStyle w:val="FirstParagraph"/>
      </w:pPr>
      <w:r>
        <w:t xml:space="preserve">A significant portion of living seedlings in 2023 germinated in at least the 3 years following the burns; pair 1 specifically experienced five years of substantially more germination in the burned stand versus the control stand (</w:t>
      </w:r>
      <w:hyperlink w:anchor="fig-germination">
        <w:r>
          <w:rPr>
            <w:rStyle w:val="Hyperlink"/>
          </w:rPr>
          <w:t xml:space="preserve">Figure 5</w:t>
        </w:r>
      </w:hyperlink>
      <w:r>
        <w:t xml:space="preserve">). Seedling density in 2023 was three times greater in burned stands (2887±240 per ha) than in control stands (1030±154 per ha, p&lt;0.001) (</w:t>
      </w:r>
      <w:hyperlink w:anchor="fig-merged">
        <w:r>
          <w:rPr>
            <w:rStyle w:val="Hyperlink"/>
          </w:rPr>
          <w:t xml:space="preserve">Figure 6</w:t>
        </w:r>
      </w:hyperlink>
      <w:r>
        <w:t xml:space="preserve"> </w:t>
      </w:r>
      <w:r>
        <w:t xml:space="preserve">a). Seedlings in burned stands also grew better than in control stands, evidenced by greater DRC in 2023 (4.6±0.3 mm versus 3.3±0.3 mm, p&lt;0.01) (</w:t>
      </w:r>
      <w:hyperlink w:anchor="fig-merged">
        <w:r>
          <w:rPr>
            <w:rStyle w:val="Hyperlink"/>
          </w:rPr>
          <w:t xml:space="preserve">Figure 6</w:t>
        </w:r>
      </w:hyperlink>
      <w:r>
        <w:t xml:space="preserve"> </w:t>
      </w:r>
      <w:r>
        <w:t xml:space="preserve">b), greater extension growth in 2024 (6.43±0.5 cm versus 2.6±0.4 cm, p&lt;0.001) (</w:t>
      </w:r>
      <w:hyperlink w:anchor="fig-merged">
        <w:r>
          <w:rPr>
            <w:rStyle w:val="Hyperlink"/>
          </w:rPr>
          <w:t xml:space="preserve">Figure 6</w:t>
        </w:r>
      </w:hyperlink>
      <w:r>
        <w:t xml:space="preserve"> </w:t>
      </w:r>
      <w:r>
        <w:t xml:space="preserve">c), and more leaves sprouted (16±1 versus 7±1, p&lt;0.001) (</w:t>
      </w:r>
      <w:hyperlink w:anchor="fig-merged">
        <w:r>
          <w:rPr>
            <w:rStyle w:val="Hyperlink"/>
          </w:rPr>
          <w:t xml:space="preserve">Figure 6</w:t>
        </w:r>
      </w:hyperlink>
      <w:r>
        <w:t xml:space="preserve"> </w:t>
      </w:r>
      <w:r>
        <w:t xml:space="preserve">d).</w:t>
      </w:r>
    </w:p>
    <w:tbl>
      <w:tblPr>
        <w:tblStyle w:val="Table"/>
        <w:tblW w:type="pct" w:w="5000"/>
        <w:tblLayout w:type="fixed"/>
        <w:tblLook w:firstRow="0" w:lastRow="0" w:firstColumn="0" w:lastColumn="0" w:noHBand="0" w:noVBand="0" w:val="0000"/>
      </w:tblPr>
      <w:tblGrid>
        <w:gridCol w:w="7920"/>
      </w:tblGrid>
      <w:tr>
        <w:tc>
          <w:tcPr/>
          <w:bookmarkStart w:id="51" w:name="fig-germination"/>
          <w:p>
            <w:pPr>
              <w:pStyle w:val="Compact"/>
              <w:jc w:val="center"/>
            </w:pPr>
            <w:r>
              <w:drawing>
                <wp:inline>
                  <wp:extent cx="5334000" cy="9813073"/>
                  <wp:effectExtent b="0" l="0" r="0" t="0"/>
                  <wp:docPr descr="" title="" id="49" name="Picture"/>
                  <a:graphic>
                    <a:graphicData uri="http://schemas.openxmlformats.org/drawingml/2006/picture">
                      <pic:pic>
                        <pic:nvPicPr>
                          <pic:cNvPr descr="graphs/germ.jpg" id="50" name="Picture"/>
                          <pic:cNvPicPr>
                            <a:picLocks noChangeArrowheads="1" noChangeAspect="1"/>
                          </pic:cNvPicPr>
                        </pic:nvPicPr>
                        <pic:blipFill>
                          <a:blip r:embed="rId48"/>
                          <a:stretch>
                            <a:fillRect/>
                          </a:stretch>
                        </pic:blipFill>
                        <pic:spPr bwMode="auto">
                          <a:xfrm>
                            <a:off x="0" y="0"/>
                            <a:ext cx="5334000" cy="98130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Germination years of living seedlings in 2023; burn years are indicated by the red dashed lines.</w:t>
            </w:r>
          </w:p>
          <w:bookmarkEnd w:id="5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5" w:name="fig-merged"/>
          <w:p>
            <w:pPr>
              <w:pStyle w:val="Compact"/>
              <w:jc w:val="center"/>
            </w:pPr>
            <w:r>
              <w:drawing>
                <wp:inline>
                  <wp:extent cx="5334000" cy="4586018"/>
                  <wp:effectExtent b="0" l="0" r="0" t="0"/>
                  <wp:docPr descr="" title="" id="53" name="Picture"/>
                  <a:graphic>
                    <a:graphicData uri="http://schemas.openxmlformats.org/drawingml/2006/picture">
                      <pic:pic>
                        <pic:nvPicPr>
                          <pic:cNvPr descr="graphs/Ton_figmerge.jpg" id="54" name="Picture"/>
                          <pic:cNvPicPr>
                            <a:picLocks noChangeArrowheads="1" noChangeAspect="1"/>
                          </pic:cNvPicPr>
                        </pic:nvPicPr>
                        <pic:blipFill>
                          <a:blip r:embed="rId52"/>
                          <a:stretch>
                            <a:fillRect/>
                          </a:stretch>
                        </pic:blipFill>
                        <pic:spPr bwMode="auto">
                          <a:xfrm>
                            <a:off x="0" y="0"/>
                            <a:ext cx="5334000" cy="458601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 (top left) Q. rubra density per hectare in 2023; b. (top right) Seedling diameters at root collar in 2023; c. (bottom left) Seedling extension growths in 2024; d. (bottom right) Number of leaves per seedling in 2024 by stand pairs, error bars = ±1 SE.</w:t>
            </w:r>
          </w:p>
          <w:bookmarkEnd w:id="55"/>
        </w:tc>
      </w:tr>
    </w:tbl>
    <w:bookmarkEnd w:id="56"/>
    <w:bookmarkEnd w:id="57"/>
    <w:bookmarkStart w:id="60" w:name="discussion"/>
    <w:p>
      <w:pPr>
        <w:pStyle w:val="Heading1"/>
      </w:pPr>
      <w:r>
        <w:t xml:space="preserve">4. Discussion</w:t>
      </w:r>
    </w:p>
    <w:bookmarkStart w:id="58" w:name="X1cf72f96f1f321203b542a7fdff8a5210044b79"/>
    <w:p>
      <w:pPr>
        <w:pStyle w:val="Heading2"/>
      </w:pPr>
      <w:r>
        <w:t xml:space="preserve">4.1</w:t>
      </w:r>
      <w:r>
        <w:t xml:space="preserve"> </w:t>
      </w:r>
      <w:r>
        <w:rPr>
          <w:i/>
          <w:iCs/>
        </w:rPr>
        <w:t xml:space="preserve">Q. rubra</w:t>
      </w:r>
      <w:r>
        <w:t xml:space="preserve"> </w:t>
      </w:r>
      <w:r>
        <w:t xml:space="preserve">seedling recruitment promoted by prescribed fire</w:t>
      </w:r>
    </w:p>
    <w:p>
      <w:pPr>
        <w:pStyle w:val="FirstParagraph"/>
      </w:pPr>
      <w:r>
        <w:rPr>
          <w:i/>
          <w:iCs/>
        </w:rPr>
        <w:t xml:space="preserve">Q. rubra</w:t>
      </w:r>
      <w:r>
        <w:t xml:space="preserve"> </w:t>
      </w:r>
      <w:r>
        <w:t xml:space="preserve">regeneration can be promoted by prescribed burns at any and all critical life stages including acorn production, germination, establishment, seedling development, and release into canopy</w:t>
      </w:r>
      <w:r>
        <w:t xml:space="preserve"> </w:t>
      </w:r>
      <w:r>
        <w:t xml:space="preserve">(Arthur et al. 2012)</w:t>
      </w:r>
      <w:r>
        <w:t xml:space="preserve">. First of all, oak mother trees survive fire better than their mesophytic competitors (Appendix, Table 1) with thicker barks and rapid compartmentalization</w:t>
      </w:r>
      <w:r>
        <w:t xml:space="preserve"> </w:t>
      </w:r>
      <w:r>
        <w:t xml:space="preserve">(Dey and Schweitzer 2018)</w:t>
      </w:r>
      <w:r>
        <w:t xml:space="preserve">. Only 3% of</w:t>
      </w:r>
      <w:r>
        <w:t xml:space="preserve"> </w:t>
      </w:r>
      <w:r>
        <w:rPr>
          <w:i/>
          <w:iCs/>
        </w:rPr>
        <w:t xml:space="preserve">Q. rubra</w:t>
      </w:r>
      <w:r>
        <w:t xml:space="preserve">’s basal area in 2023 was made up by dead standing mature trees, as opposed to 43% by dead</w:t>
      </w:r>
      <w:r>
        <w:t xml:space="preserve"> </w:t>
      </w:r>
      <w:r>
        <w:rPr>
          <w:i/>
          <w:iCs/>
        </w:rPr>
        <w:t xml:space="preserve">F. grandifolia</w:t>
      </w:r>
      <w:r>
        <w:t xml:space="preserve"> </w:t>
      </w:r>
      <w:r>
        <w:t xml:space="preserve">individuals. They hence have a time advantage to continue reproducing while their competition took time to regrow. Moreover, there is evidence that acorn production is positively correlated to tree vigor i.e full-crowned dominant trees of larger DBHs produce more acorns</w:t>
      </w:r>
      <w:r>
        <w:t xml:space="preserve"> </w:t>
      </w:r>
      <w:r>
        <w:t xml:space="preserve">(Bogdziewicz et al. 2020)</w:t>
      </w:r>
      <w:r>
        <w:t xml:space="preserve">. Even though acorn production is also dependent on tree genetics</w:t>
      </w:r>
      <w:r>
        <w:t xml:space="preserve"> </w:t>
      </w:r>
      <w:r>
        <w:t xml:space="preserve">(Smith et al. 2022)</w:t>
      </w:r>
      <w:r>
        <w:t xml:space="preserve">, meaning that</w:t>
      </w:r>
      <w:r>
        <w:t xml:space="preserve"> </w:t>
      </w:r>
      <w:r>
        <w:t xml:space="preserve">“</w:t>
      </w:r>
      <w:r>
        <w:t xml:space="preserve">good</w:t>
      </w:r>
      <w:r>
        <w:t xml:space="preserve">”</w:t>
      </w:r>
      <w:r>
        <w:t xml:space="preserve"> </w:t>
      </w:r>
      <w:r>
        <w:t xml:space="preserve">producers are more likely to yield larger crops, thinning and burning to release the healthiest-looking individuals raises the chance of achieving better yields. This is in line with the shelterwood and seed tree cuttings in Pairs 1-3, where management left behind mostly</w:t>
      </w:r>
      <w:r>
        <w:t xml:space="preserve"> </w:t>
      </w:r>
      <w:r>
        <w:rPr>
          <w:i/>
          <w:iCs/>
        </w:rPr>
        <w:t xml:space="preserve">Q. rubra</w:t>
      </w:r>
      <w:r>
        <w:t xml:space="preserve"> </w:t>
      </w:r>
      <w:r>
        <w:t xml:space="preserve">trees in the highest DBH size classes, 30 cm and above (</w:t>
      </w:r>
      <w:hyperlink w:anchor="fig-overstory">
        <w:r>
          <w:rPr>
            <w:rStyle w:val="Hyperlink"/>
          </w:rPr>
          <w:t xml:space="preserve">Figure 3</w:t>
        </w:r>
      </w:hyperlink>
      <w:r>
        <w:t xml:space="preserve">).</w:t>
      </w:r>
    </w:p>
    <w:p>
      <w:pPr>
        <w:pStyle w:val="BodyText"/>
      </w:pPr>
      <w:r>
        <w:t xml:space="preserve">In terms of acorn germination success, fire is assumed to decrease acorn herbivory, which can lead to nonviable seeds or low-vigor seedlings, by interfering with insects’ life cycle portions spent in the soil</w:t>
      </w:r>
      <w:r>
        <w:t xml:space="preserve"> </w:t>
      </w:r>
      <w:r>
        <w:t xml:space="preserve">(Riccardi et al. 2004)</w:t>
      </w:r>
      <w:r>
        <w:t xml:space="preserve">. For example, weevils (</w:t>
      </w:r>
      <w:r>
        <w:rPr>
          <w:i/>
          <w:iCs/>
        </w:rPr>
        <w:t xml:space="preserve">Conotrachelus spp.</w:t>
      </w:r>
      <w:r>
        <w:t xml:space="preserve"> </w:t>
      </w:r>
      <w:r>
        <w:t xml:space="preserve">and</w:t>
      </w:r>
      <w:r>
        <w:t xml:space="preserve"> </w:t>
      </w:r>
      <w:r>
        <w:rPr>
          <w:i/>
          <w:iCs/>
        </w:rPr>
        <w:t xml:space="preserve">Curculio spp.</w:t>
      </w:r>
      <w:r>
        <w:t xml:space="preserve">) and could be killed by fire while exiting from fallen acorns or while in the forest floor layers attempting to reach the soil. Fire consumption of the forest floor removes their hiding areas and presents them to greater predation by small mammals. Another benefit fire provides is lessening the litter thickness and increasing bare soil surfaces, which in turns aids root penetration and avoids long and weak stems growing through thick litter</w:t>
      </w:r>
      <w:r>
        <w:t xml:space="preserve"> </w:t>
      </w:r>
      <w:r>
        <w:t xml:space="preserve">(Hutchinson et al. 2024)</w:t>
      </w:r>
      <w:r>
        <w:t xml:space="preserve">. Percent bare soil in this study, however, did not correlate with seedling density at the plot scale (Appendix, Figure 5). We also explored whether interactions between fire and microtopography affected</w:t>
      </w:r>
      <w:r>
        <w:t xml:space="preserve"> </w:t>
      </w:r>
      <w:r>
        <w:rPr>
          <w:i/>
          <w:iCs/>
        </w:rPr>
        <w:t xml:space="preserve">Q. rubra</w:t>
      </w:r>
      <w:r>
        <w:t xml:space="preserve"> </w:t>
      </w:r>
      <w:r>
        <w:t xml:space="preserve">regeneration. For example, acorn accumulation may occur in a concave microsite and increase the germination probability here. However, the concave microsite can also gather germination barriers like leaf litter and rain water. Fire can help consume litter and alleviate the soil moisture, but no patterns of advantage were observed in the burned stands (Appendix, Figure 6).</w:t>
      </w:r>
    </w:p>
    <w:p>
      <w:pPr>
        <w:pStyle w:val="BodyText"/>
      </w:pPr>
      <w:r>
        <w:t xml:space="preserve">While no pre-treatment data exists for this study to directly answer the question of whether burned stands experienced larger acorn yields or greater germination rates, the majority of the living</w:t>
      </w:r>
      <w:r>
        <w:t xml:space="preserve"> </w:t>
      </w:r>
      <w:r>
        <w:rPr>
          <w:i/>
          <w:iCs/>
        </w:rPr>
        <w:t xml:space="preserve">Q. rubra</w:t>
      </w:r>
      <w:r>
        <w:t xml:space="preserve"> </w:t>
      </w:r>
      <w:r>
        <w:t xml:space="preserve">seedlings in 2023 germinated in the 3-5 years following the burn events (</w:t>
      </w:r>
      <w:hyperlink w:anchor="fig-germination">
        <w:r>
          <w:rPr>
            <w:rStyle w:val="Hyperlink"/>
          </w:rPr>
          <w:t xml:space="preserve">Figure 5</w:t>
        </w:r>
      </w:hyperlink>
      <w:r>
        <w:t xml:space="preserve">). Furthermore, the seedling density in burned stands itself is nearly triple that in control stands, supporting the hypothesis that prescribed fire promotes seedling recruitment (</w:t>
      </w:r>
      <w:hyperlink w:anchor="fig-merged">
        <w:r>
          <w:rPr>
            <w:rStyle w:val="Hyperlink"/>
          </w:rPr>
          <w:t xml:space="preserve">Figure 6</w:t>
        </w:r>
      </w:hyperlink>
      <w:r>
        <w:t xml:space="preserve"> </w:t>
      </w:r>
      <w:r>
        <w:t xml:space="preserve">a). One of the potential mechanisms of accelerating this recruitment is altered soil resource supply by fire. Fire increases gross nitrogen mineralization rate, which in turns releases more of it into the soil</w:t>
      </w:r>
      <w:r>
        <w:t xml:space="preserve"> </w:t>
      </w:r>
      <w:r>
        <w:t xml:space="preserve">(Chapin and Vitousek 2012)</w:t>
      </w:r>
      <w:r>
        <w:t xml:space="preserve">. A sudden increase in nitrogen availability in the nitrogen-limited temperate forest</w:t>
      </w:r>
      <w:r>
        <w:t xml:space="preserve"> </w:t>
      </w:r>
      <w:r>
        <w:t xml:space="preserve">(Vadeboncoeur 2010)</w:t>
      </w:r>
      <w:r>
        <w:t xml:space="preserve"> </w:t>
      </w:r>
      <w:r>
        <w:t xml:space="preserve">may help promote flowering and acorn production</w:t>
      </w:r>
      <w:r>
        <w:t xml:space="preserve"> </w:t>
      </w:r>
      <w:r>
        <w:t xml:space="preserve">(Callahan et al. 2008)</w:t>
      </w:r>
      <w:r>
        <w:t xml:space="preserve">. However, fire decreases microbial nitrate immobilization and subsequently inhibit nitrate retention</w:t>
      </w:r>
      <w:r>
        <w:t xml:space="preserve"> </w:t>
      </w:r>
      <w:r>
        <w:t xml:space="preserve">(Su et al. 2022)</w:t>
      </w:r>
      <w:r>
        <w:t xml:space="preserve">. As a result, nitrous oxide and nitric oxide emissions rise following a burn and become lost permanently from the ecosystem rather than being tightly recycled in decomposition</w:t>
      </w:r>
      <w:r>
        <w:t xml:space="preserve"> </w:t>
      </w:r>
      <w:r>
        <w:t xml:space="preserve">(Stephens and Homyak 2023)</w:t>
      </w:r>
      <w:r>
        <w:t xml:space="preserve">. While such emissions tend to last under a year, nitrogen loss by leaching can persist in the long term and up to a 308% rate of change</w:t>
      </w:r>
      <w:r>
        <w:t xml:space="preserve"> </w:t>
      </w:r>
      <w:r>
        <w:t xml:space="preserve">(Zhu et al. 2024)</w:t>
      </w:r>
      <w:r>
        <w:t xml:space="preserve">. Our study burns were already at least two years old at the time of data collection, except for the wildfire in pair 4 that had occurred the previous year. Regardless, the short term increases in ammonium concentrations in the soils seemed to have diminished for all but pairs 2 and 6 (Appendix, Figure 7). Nitrate concentrations are minimal compared to ammonium, but they were similar for both burned and control stands across all pairs, signaling that leaching might not be of great concern in this ecosystem (Appendix, Figure 8).</w:t>
      </w:r>
    </w:p>
    <w:bookmarkEnd w:id="58"/>
    <w:bookmarkStart w:id="59" w:name="Xa02252628341d3ffbb1be24419fe459422b30b5"/>
    <w:p>
      <w:pPr>
        <w:pStyle w:val="Heading2"/>
      </w:pPr>
      <w:r>
        <w:t xml:space="preserve">4.2</w:t>
      </w:r>
      <w:r>
        <w:t xml:space="preserve"> </w:t>
      </w:r>
      <w:r>
        <w:rPr>
          <w:i/>
          <w:iCs/>
        </w:rPr>
        <w:t xml:space="preserve">Q. rubra</w:t>
      </w:r>
      <w:r>
        <w:t xml:space="preserve"> </w:t>
      </w:r>
      <w:r>
        <w:t xml:space="preserve">seedling growth promoted by prescribed fires</w:t>
      </w:r>
    </w:p>
    <w:p>
      <w:pPr>
        <w:pStyle w:val="FirstParagraph"/>
      </w:pPr>
      <w:r>
        <w:t xml:space="preserve">Diameter at root collar, extension growth, and number of leaves were significantly greater for</w:t>
      </w:r>
      <w:r>
        <w:t xml:space="preserve"> </w:t>
      </w:r>
      <w:r>
        <w:rPr>
          <w:i/>
          <w:iCs/>
        </w:rPr>
        <w:t xml:space="preserve">Q. rubra</w:t>
      </w:r>
      <w:r>
        <w:t xml:space="preserve"> </w:t>
      </w:r>
      <w:r>
        <w:t xml:space="preserve">seedlings in burned stands versus control stands (</w:t>
      </w:r>
      <w:hyperlink w:anchor="fig-merged">
        <w:r>
          <w:rPr>
            <w:rStyle w:val="Hyperlink"/>
          </w:rPr>
          <w:t xml:space="preserve">Figure 6</w:t>
        </w:r>
      </w:hyperlink>
      <w:r>
        <w:t xml:space="preserve"> </w:t>
      </w:r>
      <w:r>
        <w:t xml:space="preserve">b, c, d). While mesophytic competitors experience dieback and invest their resources in regrowing,</w:t>
      </w:r>
      <w:r>
        <w:t xml:space="preserve"> </w:t>
      </w:r>
      <w:r>
        <w:rPr>
          <w:i/>
          <w:iCs/>
        </w:rPr>
        <w:t xml:space="preserve">Q. rubra</w:t>
      </w:r>
      <w:r>
        <w:t xml:space="preserve"> </w:t>
      </w:r>
      <w:r>
        <w:t xml:space="preserve">seedlings make use of the increased nutrients, space, and light (</w:t>
      </w:r>
      <w:hyperlink w:anchor="fig-lai">
        <w:r>
          <w:rPr>
            <w:rStyle w:val="Hyperlink"/>
          </w:rPr>
          <w:t xml:space="preserve">Figure 4</w:t>
        </w:r>
      </w:hyperlink>
      <w:r>
        <w:t xml:space="preserve">) to grow taller vertically and horizontally as well as produce leaves to expedite photosynthesis. Additionally, they might have grown better by taking advantage of the temporary increases up to a year since the burn events in available nitrogen pools</w:t>
      </w:r>
      <w:r>
        <w:t xml:space="preserve"> </w:t>
      </w:r>
      <w:r>
        <w:t xml:space="preserve">(Wan et al. 2001)</w:t>
      </w:r>
      <w:r>
        <w:t xml:space="preserve"> </w:t>
      </w:r>
      <w:r>
        <w:t xml:space="preserve">and fluxes</w:t>
      </w:r>
      <w:r>
        <w:t xml:space="preserve"> </w:t>
      </w:r>
      <w:r>
        <w:t xml:space="preserve">(Wang et al. 2014)</w:t>
      </w:r>
      <w:r>
        <w:t xml:space="preserve"> </w:t>
      </w:r>
      <w:r>
        <w:t xml:space="preserve">immediately after fires to store carbon into the stems. On the other hand, the significantly larger annual extension growths and leaf production in the past two summers imply that the positive fire effects still linger 3-7 years post-treatment.</w:t>
      </w:r>
    </w:p>
    <w:p>
      <w:pPr>
        <w:pStyle w:val="BodyText"/>
      </w:pPr>
      <w:r>
        <w:t xml:space="preserve">It is also worth evaluating fire effects on competitors at the germination and seedling establishment stage. Fire can reduce seed bank abundance</w:t>
      </w:r>
      <w:r>
        <w:t xml:space="preserve"> </w:t>
      </w:r>
      <w:r>
        <w:t xml:space="preserve">(Schuler et al. 2010)</w:t>
      </w:r>
      <w:r>
        <w:t xml:space="preserve">, but it is more likely that the seed bank remains abundant, especially in cases where the burn was of low or patchy intensity. In the understory, early successional seedlings are plentiful, mostly comprising</w:t>
      </w:r>
      <w:r>
        <w:t xml:space="preserve"> </w:t>
      </w:r>
      <w:r>
        <w:rPr>
          <w:i/>
          <w:iCs/>
        </w:rPr>
        <w:t xml:space="preserve">Rubus spp.</w:t>
      </w:r>
      <w:r>
        <w:t xml:space="preserve">,</w:t>
      </w:r>
      <w:r>
        <w:t xml:space="preserve"> </w:t>
      </w:r>
      <w:r>
        <w:rPr>
          <w:i/>
          <w:iCs/>
        </w:rPr>
        <w:t xml:space="preserve">A. rubrum</w:t>
      </w:r>
      <w:r>
        <w:t xml:space="preserve">, and</w:t>
      </w:r>
      <w:r>
        <w:t xml:space="preserve"> </w:t>
      </w:r>
      <w:r>
        <w:rPr>
          <w:i/>
          <w:iCs/>
        </w:rPr>
        <w:t xml:space="preserve">Betula spp.</w:t>
      </w:r>
      <w:r>
        <w:t xml:space="preserve"> </w:t>
      </w:r>
      <w:r>
        <w:t xml:space="preserve">(</w:t>
      </w:r>
      <w:hyperlink w:anchor="fig-understory">
        <w:r>
          <w:rPr>
            <w:rStyle w:val="Hyperlink"/>
          </w:rPr>
          <w:t xml:space="preserve">Figure 2</w:t>
        </w:r>
      </w:hyperlink>
      <w:r>
        <w:t xml:space="preserve">).</w:t>
      </w:r>
      <w:r>
        <w:t xml:space="preserve"> </w:t>
      </w:r>
      <w:r>
        <w:rPr>
          <w:i/>
          <w:iCs/>
        </w:rPr>
        <w:t xml:space="preserve">Rubus</w:t>
      </w:r>
      <w:r>
        <w:t xml:space="preserve"> </w:t>
      </w:r>
      <w:r>
        <w:t xml:space="preserve">seeds are dispersed by birds and mammals that survive in the soil when buried</w:t>
      </w:r>
      <w:r>
        <w:t xml:space="preserve"> </w:t>
      </w:r>
      <w:r>
        <w:t xml:space="preserve">(Zasada and Tappeiner III 2008)</w:t>
      </w:r>
      <w:r>
        <w:t xml:space="preserve">. The latter two do not survive well in the soil when a prescribed burn takes place but, if mother trees survived the fire, or if they are present near the edge of the burned unit, they are capable of producing high volumes of wind-dispersed seeds that germinate well in the postfire exposed mineral soil</w:t>
      </w:r>
      <w:r>
        <w:t xml:space="preserve"> </w:t>
      </w:r>
      <w:r>
        <w:t xml:space="preserve">Erdmann (1990)</w:t>
      </w:r>
      <w:r>
        <w:t xml:space="preserve">. On the other hand, acorns neither survives in the soil for multiple years nor disperse far</w:t>
      </w:r>
      <w:r>
        <w:t xml:space="preserve"> </w:t>
      </w:r>
      <w:r>
        <w:t xml:space="preserve">(Sander 1990)</w:t>
      </w:r>
      <w:r>
        <w:t xml:space="preserve">. Nevertheless,</w:t>
      </w:r>
      <w:r>
        <w:t xml:space="preserve"> </w:t>
      </w:r>
      <w:r>
        <w:rPr>
          <w:i/>
          <w:iCs/>
        </w:rPr>
        <w:t xml:space="preserve">Q. rubra</w:t>
      </w:r>
      <w:r>
        <w:t xml:space="preserve"> </w:t>
      </w:r>
      <w:r>
        <w:t xml:space="preserve">has comparably strong basal sprouting responses following the death of the main stem, much like</w:t>
      </w:r>
      <w:r>
        <w:t xml:space="preserve"> </w:t>
      </w:r>
      <w:r>
        <w:rPr>
          <w:i/>
          <w:iCs/>
        </w:rPr>
        <w:t xml:space="preserve">A. rubrum</w:t>
      </w:r>
      <w:r>
        <w:t xml:space="preserve"> </w:t>
      </w:r>
      <w:r>
        <w:t xml:space="preserve">and</w:t>
      </w:r>
      <w:r>
        <w:t xml:space="preserve"> </w:t>
      </w:r>
      <w:r>
        <w:rPr>
          <w:i/>
          <w:iCs/>
        </w:rPr>
        <w:t xml:space="preserve">F. grandifolia</w:t>
      </w:r>
      <w:r>
        <w:t xml:space="preserve"> </w:t>
      </w:r>
      <w:r>
        <w:t xml:space="preserve">(Tubbs and Houston 1990)</w:t>
      </w:r>
      <w:r>
        <w:t xml:space="preserve">.</w:t>
      </w:r>
    </w:p>
    <w:p>
      <w:pPr>
        <w:pStyle w:val="BodyText"/>
      </w:pPr>
      <w:r>
        <w:t xml:space="preserve">Prescribed burns can only be considered an effective management tool for</w:t>
      </w:r>
      <w:r>
        <w:t xml:space="preserve"> </w:t>
      </w:r>
      <w:r>
        <w:rPr>
          <w:i/>
          <w:iCs/>
        </w:rPr>
        <w:t xml:space="preserve">Q. rubra</w:t>
      </w:r>
      <w:r>
        <w:t xml:space="preserve"> </w:t>
      </w:r>
      <w:r>
        <w:t xml:space="preserve">regeneration if their effects are net positive. This means doing less damage to our target species than its existing competitors, and promote its regeneration over them. Our study demonstrates such positive effects for both oak recruitment and establishment near its northern range limit in North America and affirms prescribed fire as a potentially beneficial silvicultural management tool in introducing the species north of its current distribution and ensuring forest resiliency in time of climate change. The study, nevertheless, can become more meaningful when belowground variables are explored.</w:t>
      </w:r>
      <w:r>
        <w:t xml:space="preserve"> </w:t>
      </w:r>
      <w:r>
        <w:rPr>
          <w:i/>
          <w:iCs/>
        </w:rPr>
        <w:t xml:space="preserve">Q. rubra</w:t>
      </w:r>
      <w:r>
        <w:t xml:space="preserve"> </w:t>
      </w:r>
      <w:r>
        <w:t xml:space="preserve">is known to allocate more resources belowground in the first few years than aboveground</w:t>
      </w:r>
      <w:r>
        <w:t xml:space="preserve"> </w:t>
      </w:r>
      <w:r>
        <w:t xml:space="preserve">(Kolb et al. 1990)</w:t>
      </w:r>
      <w:r>
        <w:t xml:space="preserve">. While destructive harvesting of seedlings lies outside of this project, their belowground structures would have provided a more comprehensive understanding of what role fire plays in this resource allocation. Other mechanisms at play, especially fire-soil interactions, can further illuminate how fire influences nutrient pools and fluxes as well as mycorrhizal fungal colonization and soil microbial communities.</w:t>
      </w:r>
    </w:p>
    <w:p>
      <w:r>
        <w:br w:type="page"/>
      </w:r>
    </w:p>
    <w:bookmarkEnd w:id="59"/>
    <w:bookmarkEnd w:id="60"/>
    <w:bookmarkStart w:id="61" w:name="acknowledgements"/>
    <w:p>
      <w:pPr>
        <w:pStyle w:val="Heading1"/>
      </w:pPr>
      <w:r>
        <w:t xml:space="preserve">5. Acknowledgements</w:t>
      </w:r>
    </w:p>
    <w:p>
      <w:pPr>
        <w:pStyle w:val="FirstParagraph"/>
      </w:pPr>
      <w:r>
        <w:t xml:space="preserve">Khanh Ton: Data curation, Formal analysis, Methodology, Software, Visualization, Writing - original draft</w:t>
      </w:r>
    </w:p>
    <w:p>
      <w:pPr>
        <w:pStyle w:val="BodyText"/>
      </w:pPr>
      <w:r>
        <w:t xml:space="preserve">Matt Vadeboncoeur: Conceptualization, Data curation, Funding acquisition, Methodology, Project administration, Resources, Supervision, Validation, Writing - review &amp; editing</w:t>
      </w:r>
    </w:p>
    <w:p>
      <w:pPr>
        <w:pStyle w:val="BodyText"/>
      </w:pPr>
      <w:r>
        <w:t xml:space="preserve">Nat Cleavitt: Conceptualization, Data curation, Funding acquisition, Methodology, Project administration, Resources, Supervision, Validation, Writing - review &amp; editing</w:t>
      </w:r>
    </w:p>
    <w:p>
      <w:pPr>
        <w:pStyle w:val="BodyText"/>
      </w:pPr>
      <w:r>
        <w:t xml:space="preserve">Heidi Asbjornsen: Funding acquisition, Resources, Supervision, Validation</w:t>
      </w:r>
    </w:p>
    <w:p>
      <w:pPr>
        <w:pStyle w:val="BodyText"/>
      </w:pPr>
      <w:r>
        <w:t xml:space="preserve">Advisers and collaborators: Steve Eisenhaure (UNH Woodlands), Andrew Fast (UNH Extension), Erin Lane (USFS Northern Research Station), John Neely (USFS, WMNF), Mariko Yamasaki (USFS Northern Research Station)</w:t>
      </w:r>
    </w:p>
    <w:p>
      <w:pPr>
        <w:pStyle w:val="BodyText"/>
      </w:pPr>
      <w:r>
        <w:t xml:space="preserve">Field work assistants: Abigail Powell (Duquesne University, Summer NSF REU administered by the Hubbard Brook Research Foundation); Elena Gonzalez, Chris Owen, and Anthony Pera III (Cornell University, funded by the HBR-LTER; NSF Award # 2224545).</w:t>
      </w:r>
    </w:p>
    <w:p>
      <w:pPr>
        <w:pStyle w:val="BodyText"/>
      </w:pPr>
      <w:r>
        <w:t xml:space="preserve">This study was funded by the Northeastern States Research Cooperative through funding made available by the USDA Forest Service. The conclusions and opinions in this paper are those of the authors and not of the NSRC, the Forest Service, or the USDA. This institution is an equal opportunity provider.</w:t>
      </w:r>
    </w:p>
    <w:p>
      <w:r>
        <w:br w:type="page"/>
      </w:r>
    </w:p>
    <w:bookmarkEnd w:id="61"/>
    <w:bookmarkStart w:id="155" w:name="references"/>
    <w:p>
      <w:pPr>
        <w:pStyle w:val="Heading1"/>
      </w:pPr>
      <w:r>
        <w:t xml:space="preserve">6. References</w:t>
      </w:r>
    </w:p>
    <w:bookmarkStart w:id="81" w:name="r-packages"/>
    <w:p>
      <w:pPr>
        <w:pStyle w:val="Heading2"/>
      </w:pPr>
      <w:r>
        <w:t xml:space="preserve">R packages</w:t>
      </w:r>
    </w:p>
    <w:p>
      <w:pPr>
        <w:pStyle w:val="FirstParagraph"/>
      </w:pPr>
      <w:r>
        <w:t xml:space="preserve">[1] F. Aust.</w:t>
      </w:r>
      <w:r>
        <w:t xml:space="preserve"> </w:t>
      </w:r>
      <w:r>
        <w:rPr>
          <w:i/>
          <w:iCs/>
        </w:rPr>
        <w:t xml:space="preserve">citr: RStudio Add-in to Insert Markdown Citations</w:t>
      </w:r>
      <w:r>
        <w:t xml:space="preserve">. R</w:t>
      </w:r>
      <w:r>
        <w:t xml:space="preserve"> </w:t>
      </w:r>
      <w:r>
        <w:t xml:space="preserve">package version 0.3.2. 2019.</w:t>
      </w:r>
      <w:r>
        <w:t xml:space="preserve"> </w:t>
      </w:r>
      <w:hyperlink r:id="rId62">
        <w:r>
          <w:rPr>
            <w:rStyle w:val="Hyperlink"/>
          </w:rPr>
          <w:t xml:space="preserve">https://github.com/crsh/citr</w:t>
        </w:r>
      </w:hyperlink>
      <w:r>
        <w:t xml:space="preserve">.</w:t>
      </w:r>
    </w:p>
    <w:p>
      <w:pPr>
        <w:pStyle w:val="BodyText"/>
      </w:pPr>
      <w:r>
        <w:t xml:space="preserve">[2] C. Boettiger.</w:t>
      </w:r>
      <w:r>
        <w:t xml:space="preserve"> </w:t>
      </w:r>
      <w:r>
        <w:rPr>
          <w:i/>
          <w:iCs/>
        </w:rPr>
        <w:t xml:space="preserve">knitcitations: Citations for Knitr Markdown Files</w:t>
      </w:r>
      <w:r>
        <w:t xml:space="preserve">.</w:t>
      </w:r>
      <w:r>
        <w:t xml:space="preserve"> </w:t>
      </w:r>
      <w:r>
        <w:t xml:space="preserve">R package version 1.0.12. 2021.</w:t>
      </w:r>
      <w:r>
        <w:t xml:space="preserve"> </w:t>
      </w:r>
      <w:hyperlink r:id="rId63">
        <w:r>
          <w:rPr>
            <w:rStyle w:val="Hyperlink"/>
          </w:rPr>
          <w:t xml:space="preserve">https://github.com/cboettig/knitcitations</w:t>
        </w:r>
      </w:hyperlink>
      <w:r>
        <w:t xml:space="preserve">.</w:t>
      </w:r>
    </w:p>
    <w:p>
      <w:pPr>
        <w:pStyle w:val="BodyText"/>
      </w:pPr>
      <w:r>
        <w:t xml:space="preserve">[3] W. Chang, J. Cheng, J. Allaire, et al. </w:t>
      </w:r>
      <w:r>
        <w:rPr>
          <w:i/>
          <w:iCs/>
        </w:rPr>
        <w:t xml:space="preserve">shiny: Web Application</w:t>
      </w:r>
      <w:r>
        <w:rPr>
          <w:i/>
          <w:iCs/>
        </w:rPr>
        <w:t xml:space="preserve"> </w:t>
      </w:r>
      <w:r>
        <w:rPr>
          <w:i/>
          <w:iCs/>
        </w:rPr>
        <w:t xml:space="preserve">Framework for R</w:t>
      </w:r>
      <w:r>
        <w:t xml:space="preserve">. R package version 1.9.1. 2024.</w:t>
      </w:r>
      <w:r>
        <w:t xml:space="preserve"> </w:t>
      </w:r>
      <w:hyperlink r:id="rId64">
        <w:r>
          <w:rPr>
            <w:rStyle w:val="Hyperlink"/>
          </w:rPr>
          <w:t xml:space="preserve">https://CRAN.R-project.org/package=shiny</w:t>
        </w:r>
      </w:hyperlink>
      <w:r>
        <w:t xml:space="preserve">.</w:t>
      </w:r>
    </w:p>
    <w:p>
      <w:pPr>
        <w:pStyle w:val="BodyText"/>
      </w:pPr>
      <w:r>
        <w:t xml:space="preserve">[4] G. Grolemund and H. Wickham.</w:t>
      </w:r>
      <w:r>
        <w:t xml:space="preserve"> </w:t>
      </w:r>
      <w:r>
        <w:t xml:space="preserve">“</w:t>
      </w:r>
      <w:r>
        <w:t xml:space="preserve">Dates and Times Made Easy with</w:t>
      </w:r>
      <w:r>
        <w:t xml:space="preserve"> </w:t>
      </w:r>
      <w:r>
        <w:t xml:space="preserve">lubridate</w:t>
      </w:r>
      <w:r>
        <w:t xml:space="preserve">”</w:t>
      </w:r>
      <w:r>
        <w:t xml:space="preserve">. In:</w:t>
      </w:r>
      <w:r>
        <w:t xml:space="preserve"> </w:t>
      </w:r>
      <w:r>
        <w:rPr>
          <w:i/>
          <w:iCs/>
        </w:rPr>
        <w:t xml:space="preserve">Journal of Statistical Software</w:t>
      </w:r>
      <w:r>
        <w:t xml:space="preserve"> </w:t>
      </w:r>
      <w:r>
        <w:t xml:space="preserve">40.3 (2011), pp.</w:t>
      </w:r>
      <w:r>
        <w:t xml:space="preserve"> </w:t>
      </w:r>
      <w:r>
        <w:t xml:space="preserve">1-25.</w:t>
      </w:r>
      <w:r>
        <w:t xml:space="preserve"> </w:t>
      </w:r>
      <w:hyperlink r:id="rId65">
        <w:r>
          <w:rPr>
            <w:rStyle w:val="Hyperlink"/>
          </w:rPr>
          <w:t xml:space="preserve">https://www.jstatsoft.org/v40/i03/</w:t>
        </w:r>
      </w:hyperlink>
      <w:r>
        <w:t xml:space="preserve">.</w:t>
      </w:r>
    </w:p>
    <w:p>
      <w:pPr>
        <w:pStyle w:val="BodyText"/>
      </w:pPr>
      <w:r>
        <w:t xml:space="preserve">[5] K. Müller and H. Wickham.</w:t>
      </w:r>
      <w:r>
        <w:t xml:space="preserve"> </w:t>
      </w:r>
      <w:r>
        <w:rPr>
          <w:i/>
          <w:iCs/>
        </w:rPr>
        <w:t xml:space="preserve">tibble: Simple Data Frames</w:t>
      </w:r>
      <w:r>
        <w:t xml:space="preserve">. R package</w:t>
      </w:r>
      <w:r>
        <w:t xml:space="preserve"> </w:t>
      </w:r>
      <w:r>
        <w:t xml:space="preserve">version 3.2.1. 2023.</w:t>
      </w:r>
      <w:r>
        <w:t xml:space="preserve"> </w:t>
      </w:r>
      <w:hyperlink r:id="rId66">
        <w:r>
          <w:rPr>
            <w:rStyle w:val="Hyperlink"/>
          </w:rPr>
          <w:t xml:space="preserve">https://CRAN.R-project.org/package=tibble</w:t>
        </w:r>
      </w:hyperlink>
      <w:r>
        <w:t xml:space="preserve">.</w:t>
      </w:r>
    </w:p>
    <w:p>
      <w:pPr>
        <w:pStyle w:val="BodyText"/>
      </w:pPr>
      <w:r>
        <w:t xml:space="preserve">[6] R Core Team.</w:t>
      </w:r>
      <w:r>
        <w:t xml:space="preserve"> </w:t>
      </w:r>
      <w:r>
        <w:rPr>
          <w:i/>
          <w:iCs/>
        </w:rPr>
        <w:t xml:space="preserve">R: A Language and Environment for Statistical</w:t>
      </w:r>
      <w:r>
        <w:rPr>
          <w:i/>
          <w:iCs/>
        </w:rPr>
        <w:t xml:space="preserve"> </w:t>
      </w:r>
      <w:r>
        <w:rPr>
          <w:i/>
          <w:iCs/>
        </w:rPr>
        <w:t xml:space="preserve">Computing</w:t>
      </w:r>
      <w:r>
        <w:t xml:space="preserve">. R Foundation for Statistical Computing. Vienna, Austria,</w:t>
      </w:r>
      <w:r>
        <w:t xml:space="preserve"> </w:t>
      </w:r>
      <w:r>
        <w:t xml:space="preserve">2022.</w:t>
      </w:r>
      <w:r>
        <w:t xml:space="preserve"> </w:t>
      </w:r>
      <w:hyperlink r:id="rId67">
        <w:r>
          <w:rPr>
            <w:rStyle w:val="Hyperlink"/>
          </w:rPr>
          <w:t xml:space="preserve">https://www.R-project.org/</w:t>
        </w:r>
      </w:hyperlink>
      <w:r>
        <w:t xml:space="preserve">.</w:t>
      </w:r>
    </w:p>
    <w:p>
      <w:pPr>
        <w:pStyle w:val="BodyText"/>
      </w:pPr>
      <w:r>
        <w:t xml:space="preserve">[7] V. Spinu, G. Grolemund, and H. Wickham.</w:t>
      </w:r>
      <w:r>
        <w:t xml:space="preserve"> </w:t>
      </w:r>
      <w:r>
        <w:rPr>
          <w:i/>
          <w:iCs/>
        </w:rPr>
        <w:t xml:space="preserve">lubridate: Make Dealing</w:t>
      </w:r>
      <w:r>
        <w:rPr>
          <w:i/>
          <w:iCs/>
        </w:rPr>
        <w:t xml:space="preserve"> </w:t>
      </w:r>
      <w:r>
        <w:rPr>
          <w:i/>
          <w:iCs/>
        </w:rPr>
        <w:t xml:space="preserve">with Dates a Little Easier</w:t>
      </w:r>
      <w:r>
        <w:t xml:space="preserve">. R package version 1.9.3. 2023.</w:t>
      </w:r>
      <w:r>
        <w:t xml:space="preserve"> </w:t>
      </w:r>
      <w:hyperlink r:id="rId68">
        <w:r>
          <w:rPr>
            <w:rStyle w:val="Hyperlink"/>
          </w:rPr>
          <w:t xml:space="preserve">https://CRAN.R-project.org/package=lubridate</w:t>
        </w:r>
      </w:hyperlink>
      <w:r>
        <w:t xml:space="preserve">.</w:t>
      </w:r>
    </w:p>
    <w:p>
      <w:pPr>
        <w:pStyle w:val="BodyText"/>
      </w:pPr>
      <w:r>
        <w:t xml:space="preserve">[8] H. Wickham.</w:t>
      </w:r>
      <w:r>
        <w:t xml:space="preserve"> </w:t>
      </w:r>
      <w:r>
        <w:rPr>
          <w:i/>
          <w:iCs/>
        </w:rPr>
        <w:t xml:space="preserve">forcats: Tools for Working with Categorical Variables</w:t>
      </w:r>
      <w:r>
        <w:rPr>
          <w:i/>
          <w:iCs/>
        </w:rPr>
        <w:t xml:space="preserve"> </w:t>
      </w:r>
      <w:r>
        <w:rPr>
          <w:i/>
          <w:iCs/>
        </w:rPr>
        <w:t xml:space="preserve">(Factors)</w:t>
      </w:r>
      <w:r>
        <w:t xml:space="preserve">. R package version 1.0.0. 2023.</w:t>
      </w:r>
      <w:r>
        <w:t xml:space="preserve"> </w:t>
      </w:r>
      <w:hyperlink r:id="rId69">
        <w:r>
          <w:rPr>
            <w:rStyle w:val="Hyperlink"/>
          </w:rPr>
          <w:t xml:space="preserve">https://CRAN.R-project.org/package=forcats</w:t>
        </w:r>
      </w:hyperlink>
      <w:r>
        <w:t xml:space="preserve">.</w:t>
      </w:r>
    </w:p>
    <w:p>
      <w:pPr>
        <w:pStyle w:val="BodyText"/>
      </w:pPr>
      <w:r>
        <w:t xml:space="preserve">[9] H. Wickham.</w:t>
      </w:r>
      <w:r>
        <w:t xml:space="preserve"> </w:t>
      </w:r>
      <w:r>
        <w:rPr>
          <w:i/>
          <w:iCs/>
        </w:rPr>
        <w:t xml:space="preserve">ggplot2: Elegant Graphics for Data Analysis</w:t>
      </w:r>
      <w:r>
        <w:t xml:space="preserve">.</w:t>
      </w:r>
      <w:r>
        <w:t xml:space="preserve"> </w:t>
      </w:r>
      <w:r>
        <w:t xml:space="preserve">Springer-Verlag New York, 2016. ISBN: 978-3-319-24277-4.</w:t>
      </w:r>
      <w:r>
        <w:t xml:space="preserve"> </w:t>
      </w:r>
      <w:hyperlink r:id="rId70">
        <w:r>
          <w:rPr>
            <w:rStyle w:val="Hyperlink"/>
          </w:rPr>
          <w:t xml:space="preserve">https://ggplot2.tidyverse.org</w:t>
        </w:r>
      </w:hyperlink>
      <w:r>
        <w:t xml:space="preserve">.</w:t>
      </w:r>
    </w:p>
    <w:p>
      <w:pPr>
        <w:pStyle w:val="BodyText"/>
      </w:pPr>
      <w:r>
        <w:t xml:space="preserve">[10] H. Wickham.</w:t>
      </w:r>
      <w:r>
        <w:t xml:space="preserve"> </w:t>
      </w:r>
      <w:r>
        <w:rPr>
          <w:i/>
          <w:iCs/>
        </w:rPr>
        <w:t xml:space="preserve">stringr: Simple, Consistent Wrappers for Common</w:t>
      </w:r>
      <w:r>
        <w:rPr>
          <w:i/>
          <w:iCs/>
        </w:rPr>
        <w:t xml:space="preserve"> </w:t>
      </w:r>
      <w:r>
        <w:rPr>
          <w:i/>
          <w:iCs/>
        </w:rPr>
        <w:t xml:space="preserve">String Operations</w:t>
      </w:r>
      <w:r>
        <w:t xml:space="preserve">. R package version 1.5.1. 2023.</w:t>
      </w:r>
      <w:r>
        <w:t xml:space="preserve"> </w:t>
      </w:r>
      <w:hyperlink r:id="rId71">
        <w:r>
          <w:rPr>
            <w:rStyle w:val="Hyperlink"/>
          </w:rPr>
          <w:t xml:space="preserve">https://CRAN.R-project.org/package=stringr</w:t>
        </w:r>
      </w:hyperlink>
      <w:r>
        <w:t xml:space="preserve">.</w:t>
      </w:r>
    </w:p>
    <w:p>
      <w:pPr>
        <w:pStyle w:val="BodyText"/>
      </w:pPr>
      <w:r>
        <w:t xml:space="preserve">[11] H. Wickham.</w:t>
      </w:r>
      <w:r>
        <w:t xml:space="preserve"> </w:t>
      </w:r>
      <w:r>
        <w:rPr>
          <w:i/>
          <w:iCs/>
        </w:rPr>
        <w:t xml:space="preserve">tidyverse: Easily Install and Load the Tidyverse</w:t>
      </w:r>
      <w:r>
        <w:t xml:space="preserve">. R</w:t>
      </w:r>
      <w:r>
        <w:t xml:space="preserve"> </w:t>
      </w:r>
      <w:r>
        <w:t xml:space="preserve">package version 2.0.0. 2023.</w:t>
      </w:r>
      <w:r>
        <w:t xml:space="preserve"> </w:t>
      </w:r>
      <w:hyperlink r:id="rId72">
        <w:r>
          <w:rPr>
            <w:rStyle w:val="Hyperlink"/>
          </w:rPr>
          <w:t xml:space="preserve">https://CRAN.R-project.org/package=tidyverse</w:t>
        </w:r>
      </w:hyperlink>
      <w:r>
        <w:t xml:space="preserve">.</w:t>
      </w:r>
    </w:p>
    <w:p>
      <w:pPr>
        <w:pStyle w:val="BodyText"/>
      </w:pPr>
      <w:r>
        <w:t xml:space="preserve">[12] H. Wickham, M. Averick, J. Bryan, et al. </w:t>
      </w:r>
      <w:r>
        <w:t xml:space="preserve">“</w:t>
      </w:r>
      <w:r>
        <w:t xml:space="preserve">Welcome to the</w:t>
      </w:r>
      <w:r>
        <w:t xml:space="preserve"> </w:t>
      </w:r>
      <w:r>
        <w:t xml:space="preserve">tidyverse</w:t>
      </w:r>
      <w:r>
        <w:t xml:space="preserve">”</w:t>
      </w:r>
      <w:r>
        <w:t xml:space="preserve">. In:</w:t>
      </w:r>
      <w:r>
        <w:t xml:space="preserve"> </w:t>
      </w:r>
      <w:r>
        <w:rPr>
          <w:i/>
          <w:iCs/>
        </w:rPr>
        <w:t xml:space="preserve">Journal of Open Source Software</w:t>
      </w:r>
      <w:r>
        <w:t xml:space="preserve"> </w:t>
      </w:r>
      <w:r>
        <w:t xml:space="preserve">4.43 (2019), p. 1686.</w:t>
      </w:r>
      <w:r>
        <w:t xml:space="preserve"> </w:t>
      </w:r>
      <w:r>
        <w:t xml:space="preserve">DOI: 10.21105/joss.01686.</w:t>
      </w:r>
    </w:p>
    <w:p>
      <w:pPr>
        <w:pStyle w:val="BodyText"/>
      </w:pPr>
      <w:r>
        <w:t xml:space="preserve">[13] H. Wickham, W. Chang, L. Henry, et al. </w:t>
      </w:r>
      <w:r>
        <w:rPr>
          <w:i/>
          <w:iCs/>
        </w:rPr>
        <w:t xml:space="preserve">ggplot2: Create Elegant</w:t>
      </w:r>
      <w:r>
        <w:rPr>
          <w:i/>
          <w:iCs/>
        </w:rPr>
        <w:t xml:space="preserve"> </w:t>
      </w:r>
      <w:r>
        <w:rPr>
          <w:i/>
          <w:iCs/>
        </w:rPr>
        <w:t xml:space="preserve">Data Visualisations Using the Grammar of Graphics</w:t>
      </w:r>
      <w:r>
        <w:t xml:space="preserve">. R package version</w:t>
      </w:r>
      <w:r>
        <w:t xml:space="preserve"> </w:t>
      </w:r>
      <w:r>
        <w:t xml:space="preserve">3.5.1. 2024.</w:t>
      </w:r>
      <w:r>
        <w:t xml:space="preserve"> </w:t>
      </w:r>
      <w:hyperlink r:id="rId73">
        <w:r>
          <w:rPr>
            <w:rStyle w:val="Hyperlink"/>
          </w:rPr>
          <w:t xml:space="preserve">https://CRAN.R-project.org/package=ggplot2</w:t>
        </w:r>
      </w:hyperlink>
      <w:r>
        <w:t xml:space="preserve">.</w:t>
      </w:r>
    </w:p>
    <w:p>
      <w:pPr>
        <w:pStyle w:val="BodyText"/>
      </w:pPr>
      <w:r>
        <w:t xml:space="preserve">[14] H. Wickham, R. François, L. Henry, et al. </w:t>
      </w:r>
      <w:r>
        <w:rPr>
          <w:i/>
          <w:iCs/>
        </w:rPr>
        <w:t xml:space="preserve">dplyr: A Grammar of</w:t>
      </w:r>
      <w:r>
        <w:rPr>
          <w:i/>
          <w:iCs/>
        </w:rPr>
        <w:t xml:space="preserve"> </w:t>
      </w:r>
      <w:r>
        <w:rPr>
          <w:i/>
          <w:iCs/>
        </w:rPr>
        <w:t xml:space="preserve">Data Manipulation</w:t>
      </w:r>
      <w:r>
        <w:t xml:space="preserve">. R package version 1.1.4. 2023.</w:t>
      </w:r>
      <w:r>
        <w:t xml:space="preserve"> </w:t>
      </w:r>
      <w:hyperlink r:id="rId74">
        <w:r>
          <w:rPr>
            <w:rStyle w:val="Hyperlink"/>
          </w:rPr>
          <w:t xml:space="preserve">https://CRAN.R-project.org/package=dplyr</w:t>
        </w:r>
      </w:hyperlink>
      <w:r>
        <w:t xml:space="preserve">.</w:t>
      </w:r>
    </w:p>
    <w:p>
      <w:pPr>
        <w:pStyle w:val="BodyText"/>
      </w:pPr>
      <w:r>
        <w:t xml:space="preserve">[15] H. Wickham and L. Henry.</w:t>
      </w:r>
      <w:r>
        <w:t xml:space="preserve"> </w:t>
      </w:r>
      <w:r>
        <w:rPr>
          <w:i/>
          <w:iCs/>
        </w:rPr>
        <w:t xml:space="preserve">purrr: Functional Programming Tools</w:t>
      </w:r>
      <w:r>
        <w:t xml:space="preserve">. R</w:t>
      </w:r>
      <w:r>
        <w:t xml:space="preserve"> </w:t>
      </w:r>
      <w:r>
        <w:t xml:space="preserve">package version 1.0.2. 2023.</w:t>
      </w:r>
      <w:r>
        <w:t xml:space="preserve"> </w:t>
      </w:r>
      <w:hyperlink r:id="rId75">
        <w:r>
          <w:rPr>
            <w:rStyle w:val="Hyperlink"/>
          </w:rPr>
          <w:t xml:space="preserve">https://CRAN.R-project.org/package=purrr</w:t>
        </w:r>
      </w:hyperlink>
      <w:r>
        <w:t xml:space="preserve">.</w:t>
      </w:r>
    </w:p>
    <w:p>
      <w:pPr>
        <w:pStyle w:val="BodyText"/>
      </w:pPr>
      <w:r>
        <w:t xml:space="preserve">[16] H. Wickham, J. Hester, and J. Bryan.</w:t>
      </w:r>
      <w:r>
        <w:t xml:space="preserve"> </w:t>
      </w:r>
      <w:r>
        <w:rPr>
          <w:i/>
          <w:iCs/>
        </w:rPr>
        <w:t xml:space="preserve">readr: Read Rectangular Text</w:t>
      </w:r>
      <w:r>
        <w:rPr>
          <w:i/>
          <w:iCs/>
        </w:rPr>
        <w:t xml:space="preserve"> </w:t>
      </w:r>
      <w:r>
        <w:rPr>
          <w:i/>
          <w:iCs/>
        </w:rPr>
        <w:t xml:space="preserve">Data</w:t>
      </w:r>
      <w:r>
        <w:t xml:space="preserve">. R package version 2.1.5. 2024.</w:t>
      </w:r>
      <w:r>
        <w:t xml:space="preserve"> </w:t>
      </w:r>
      <w:hyperlink r:id="rId76">
        <w:r>
          <w:rPr>
            <w:rStyle w:val="Hyperlink"/>
          </w:rPr>
          <w:t xml:space="preserve">https://CRAN.R-project.org/package=readr</w:t>
        </w:r>
      </w:hyperlink>
      <w:r>
        <w:t xml:space="preserve">.</w:t>
      </w:r>
    </w:p>
    <w:p>
      <w:pPr>
        <w:pStyle w:val="BodyText"/>
      </w:pPr>
      <w:r>
        <w:t xml:space="preserve">[17] H. Wickham, D. Vaughan, and M. Girlich.</w:t>
      </w:r>
      <w:r>
        <w:t xml:space="preserve"> </w:t>
      </w:r>
      <w:r>
        <w:rPr>
          <w:i/>
          <w:iCs/>
        </w:rPr>
        <w:t xml:space="preserve">tidyr: Tidy Messy Data</w:t>
      </w:r>
      <w:r>
        <w:t xml:space="preserve">.</w:t>
      </w:r>
      <w:r>
        <w:t xml:space="preserve"> </w:t>
      </w:r>
      <w:r>
        <w:t xml:space="preserve">R package version 1.3.1. 2024.</w:t>
      </w:r>
      <w:r>
        <w:t xml:space="preserve"> </w:t>
      </w:r>
      <w:hyperlink r:id="rId77">
        <w:r>
          <w:rPr>
            <w:rStyle w:val="Hyperlink"/>
          </w:rPr>
          <w:t xml:space="preserve">https://CRAN.R-project.org/package=tidyr</w:t>
        </w:r>
      </w:hyperlink>
      <w:r>
        <w:t xml:space="preserve">.</w:t>
      </w:r>
    </w:p>
    <w:p>
      <w:pPr>
        <w:pStyle w:val="BodyText"/>
      </w:pPr>
      <w:r>
        <w:t xml:space="preserve">[18] Y. Xie.</w:t>
      </w:r>
      <w:r>
        <w:t xml:space="preserve"> </w:t>
      </w:r>
      <w:r>
        <w:rPr>
          <w:i/>
          <w:iCs/>
        </w:rPr>
        <w:t xml:space="preserve">Dynamic Documents with R and knitr</w:t>
      </w:r>
      <w:r>
        <w:t xml:space="preserve">. 2nd. ISBN</w:t>
      </w:r>
      <w:r>
        <w:t xml:space="preserve"> </w:t>
      </w:r>
      <w:r>
        <w:t xml:space="preserve">978-1498716963. Boca Raton, Florida: Chapman and Hall/CRC, 2015.</w:t>
      </w:r>
      <w:r>
        <w:t xml:space="preserve"> </w:t>
      </w:r>
      <w:hyperlink r:id="rId78">
        <w:r>
          <w:rPr>
            <w:rStyle w:val="Hyperlink"/>
          </w:rPr>
          <w:t xml:space="preserve">https://yihui.org/knitr/</w:t>
        </w:r>
      </w:hyperlink>
      <w:r>
        <w:t xml:space="preserve">.</w:t>
      </w:r>
    </w:p>
    <w:p>
      <w:pPr>
        <w:pStyle w:val="BodyText"/>
      </w:pPr>
      <w:r>
        <w:t xml:space="preserve">[19] Y. Xie.</w:t>
      </w:r>
      <w:r>
        <w:t xml:space="preserve"> </w:t>
      </w:r>
      <w:r>
        <w:t xml:space="preserve">“</w:t>
      </w:r>
      <w:r>
        <w:t xml:space="preserve">knitr: A Comprehensive Tool for Reproducible Research in</w:t>
      </w:r>
      <w:r>
        <w:t xml:space="preserve"> </w:t>
      </w:r>
      <w:r>
        <w:t xml:space="preserve">R</w:t>
      </w:r>
      <w:r>
        <w:t xml:space="preserve">”</w:t>
      </w:r>
      <w:r>
        <w:t xml:space="preserve">. In:</w:t>
      </w:r>
      <w:r>
        <w:t xml:space="preserve"> </w:t>
      </w:r>
      <w:r>
        <w:rPr>
          <w:i/>
          <w:iCs/>
        </w:rPr>
        <w:t xml:space="preserve">Implementing Reproducible Computational Research</w:t>
      </w:r>
      <w:r>
        <w:t xml:space="preserve">. Ed. by V.</w:t>
      </w:r>
      <w:r>
        <w:t xml:space="preserve"> </w:t>
      </w:r>
      <w:r>
        <w:t xml:space="preserve">Stodden, F. Leisch and R. D. Peng. ISBN 978-1466561595. Chapman and</w:t>
      </w:r>
      <w:r>
        <w:t xml:space="preserve"> </w:t>
      </w:r>
      <w:r>
        <w:t xml:space="preserve">Hall/CRC, 2014.</w:t>
      </w:r>
    </w:p>
    <w:p>
      <w:pPr>
        <w:pStyle w:val="BodyText"/>
      </w:pPr>
      <w:r>
        <w:t xml:space="preserve">[20] Y. Xie.</w:t>
      </w:r>
      <w:r>
        <w:t xml:space="preserve"> </w:t>
      </w:r>
      <w:r>
        <w:rPr>
          <w:i/>
          <w:iCs/>
        </w:rPr>
        <w:t xml:space="preserve">knitr: A General-Purpose Package for Dynamic Report</w:t>
      </w:r>
      <w:r>
        <w:rPr>
          <w:i/>
          <w:iCs/>
        </w:rPr>
        <w:t xml:space="preserve"> </w:t>
      </w:r>
      <w:r>
        <w:rPr>
          <w:i/>
          <w:iCs/>
        </w:rPr>
        <w:t xml:space="preserve">Generation in R</w:t>
      </w:r>
      <w:r>
        <w:t xml:space="preserve">. R package version 1.42. 2023.</w:t>
      </w:r>
      <w:r>
        <w:t xml:space="preserve"> </w:t>
      </w:r>
      <w:hyperlink r:id="rId78">
        <w:r>
          <w:rPr>
            <w:rStyle w:val="Hyperlink"/>
          </w:rPr>
          <w:t xml:space="preserve">https://yihui.org/knitr/</w:t>
        </w:r>
      </w:hyperlink>
      <w:r>
        <w:t xml:space="preserve">.</w:t>
      </w:r>
    </w:p>
    <w:p>
      <w:pPr>
        <w:pStyle w:val="BodyText"/>
      </w:pPr>
      <w:r>
        <w:t xml:space="preserve">[21] Y. Xie.</w:t>
      </w:r>
      <w:r>
        <w:t xml:space="preserve"> </w:t>
      </w:r>
      <w:r>
        <w:t xml:space="preserve">“</w:t>
      </w:r>
      <w:r>
        <w:t xml:space="preserve">TinyTeX: A lightweight, cross-platform, and</w:t>
      </w:r>
      <w:r>
        <w:t xml:space="preserve"> </w:t>
      </w:r>
      <w:r>
        <w:t xml:space="preserve">easy-to-maintain LaTeX distribution based on TeX Live</w:t>
      </w:r>
      <w:r>
        <w:t xml:space="preserve">”</w:t>
      </w:r>
      <w:r>
        <w:t xml:space="preserve">. In:</w:t>
      </w:r>
      <w:r>
        <w:t xml:space="preserve"> </w:t>
      </w:r>
      <w:r>
        <w:rPr>
          <w:i/>
          <w:iCs/>
        </w:rPr>
        <w:t xml:space="preserve">TUGboat</w:t>
      </w:r>
      <w:r>
        <w:t xml:space="preserve"> </w:t>
      </w:r>
      <w:r>
        <w:t xml:space="preserve">40.1 (2019), pp. 30-32.</w:t>
      </w:r>
      <w:r>
        <w:t xml:space="preserve"> </w:t>
      </w:r>
      <w:hyperlink r:id="rId79">
        <w:r>
          <w:rPr>
            <w:rStyle w:val="Hyperlink"/>
          </w:rPr>
          <w:t xml:space="preserve">https://tug.org/TUGboat/Contents/contents40-1.html</w:t>
        </w:r>
      </w:hyperlink>
      <w:r>
        <w:t xml:space="preserve">.</w:t>
      </w:r>
    </w:p>
    <w:p>
      <w:pPr>
        <w:pStyle w:val="BodyText"/>
      </w:pPr>
      <w:r>
        <w:t xml:space="preserve">[22] Y. Xie.</w:t>
      </w:r>
      <w:r>
        <w:t xml:space="preserve"> </w:t>
      </w:r>
      <w:r>
        <w:rPr>
          <w:i/>
          <w:iCs/>
        </w:rPr>
        <w:t xml:space="preserve">tinytex: Helper Functions to Install and Maintain TeX</w:t>
      </w:r>
      <w:r>
        <w:rPr>
          <w:i/>
          <w:iCs/>
        </w:rPr>
        <w:t xml:space="preserve"> </w:t>
      </w:r>
      <w:r>
        <w:rPr>
          <w:i/>
          <w:iCs/>
        </w:rPr>
        <w:t xml:space="preserve">Live, and Compile LaTeX Documents</w:t>
      </w:r>
      <w:r>
        <w:t xml:space="preserve">. R package version 0.53. 2024.</w:t>
      </w:r>
      <w:r>
        <w:t xml:space="preserve"> </w:t>
      </w:r>
      <w:hyperlink r:id="rId80">
        <w:r>
          <w:rPr>
            <w:rStyle w:val="Hyperlink"/>
          </w:rPr>
          <w:t xml:space="preserve">https://github.com/rstudio/tinytex</w:t>
        </w:r>
      </w:hyperlink>
      <w:r>
        <w:t xml:space="preserve">.</w:t>
      </w:r>
    </w:p>
    <w:bookmarkEnd w:id="81"/>
    <w:bookmarkStart w:id="154" w:name="literature"/>
    <w:p>
      <w:pPr>
        <w:pStyle w:val="Heading2"/>
      </w:pPr>
      <w:r>
        <w:t xml:space="preserve">6.1 Literature</w:t>
      </w:r>
    </w:p>
    <w:bookmarkStart w:id="153" w:name="refs"/>
    <w:bookmarkStart w:id="83" w:name="ref-abramsFireDevelopmentOak1992"/>
    <w:p>
      <w:pPr>
        <w:pStyle w:val="Bibliography"/>
      </w:pPr>
      <w:r>
        <w:t xml:space="preserve">Abrams, M. D. 1992.</w:t>
      </w:r>
      <w:r>
        <w:t xml:space="preserve"> </w:t>
      </w:r>
      <w:hyperlink r:id="rId82">
        <w:r>
          <w:rPr>
            <w:rStyle w:val="Hyperlink"/>
          </w:rPr>
          <w:t xml:space="preserve">Fire and the</w:t>
        </w:r>
        <w:r>
          <w:rPr>
            <w:rStyle w:val="Hyperlink"/>
          </w:rPr>
          <w:t xml:space="preserve"> </w:t>
        </w:r>
        <w:r>
          <w:rPr>
            <w:rStyle w:val="Hyperlink"/>
          </w:rPr>
          <w:t xml:space="preserve">Development</w:t>
        </w:r>
        <w:r>
          <w:rPr>
            <w:rStyle w:val="Hyperlink"/>
          </w:rPr>
          <w:t xml:space="preserve"> </w:t>
        </w:r>
        <w:r>
          <w:rPr>
            <w:rStyle w:val="Hyperlink"/>
          </w:rPr>
          <w:t xml:space="preserve">of</w:t>
        </w:r>
        <w:r>
          <w:rPr>
            <w:rStyle w:val="Hyperlink"/>
          </w:rPr>
          <w:t xml:space="preserve"> </w:t>
        </w:r>
        <w:r>
          <w:rPr>
            <w:rStyle w:val="Hyperlink"/>
          </w:rPr>
          <w:t xml:space="preserve">Oak Forests</w:t>
        </w:r>
      </w:hyperlink>
      <w:r>
        <w:t xml:space="preserve">. BioScience 42:346–353.</w:t>
      </w:r>
    </w:p>
    <w:bookmarkEnd w:id="83"/>
    <w:bookmarkStart w:id="84" w:name="ref-abramsFireEcologicalHistory2000"/>
    <w:p>
      <w:pPr>
        <w:pStyle w:val="Bibliography"/>
      </w:pPr>
      <w:r>
        <w:t xml:space="preserve">Abrams, M. D. 2000. Fire and the ecological history of oak forests in the eastern</w:t>
      </w:r>
      <w:r>
        <w:t xml:space="preserve"> </w:t>
      </w:r>
      <w:r>
        <w:t xml:space="preserve">United States</w:t>
      </w:r>
      <w:r>
        <w:t xml:space="preserve">. Proceedings: Workshop on fire, people, and the central hardwoods landscape:12–14.</w:t>
      </w:r>
    </w:p>
    <w:bookmarkEnd w:id="84"/>
    <w:bookmarkStart w:id="86" w:name="ref-arthurRefiningOakFireHypothesis2012"/>
    <w:p>
      <w:pPr>
        <w:pStyle w:val="Bibliography"/>
      </w:pPr>
      <w:r>
        <w:t xml:space="preserve">Arthur, M. A., H. D. Alexander, D. C. Dey, C. J. Schweitzer, and D. L. Loftis. 2012.</w:t>
      </w:r>
      <w:r>
        <w:t xml:space="preserve"> </w:t>
      </w:r>
      <w:hyperlink r:id="rId85">
        <w:r>
          <w:rPr>
            <w:rStyle w:val="Hyperlink"/>
          </w:rPr>
          <w:t xml:space="preserve">Refining the</w:t>
        </w:r>
        <w:r>
          <w:rPr>
            <w:rStyle w:val="Hyperlink"/>
          </w:rPr>
          <w:t xml:space="preserve"> </w:t>
        </w:r>
        <w:r>
          <w:rPr>
            <w:rStyle w:val="Hyperlink"/>
          </w:rPr>
          <w:t xml:space="preserve">Oak-Fire Hypothesis</w:t>
        </w:r>
        <w:r>
          <w:rPr>
            <w:rStyle w:val="Hyperlink"/>
          </w:rPr>
          <w:t xml:space="preserve"> </w:t>
        </w:r>
        <w:r>
          <w:rPr>
            <w:rStyle w:val="Hyperlink"/>
          </w:rPr>
          <w:t xml:space="preserve">for</w:t>
        </w:r>
        <w:r>
          <w:rPr>
            <w:rStyle w:val="Hyperlink"/>
          </w:rPr>
          <w:t xml:space="preserve"> </w:t>
        </w:r>
        <w:r>
          <w:rPr>
            <w:rStyle w:val="Hyperlink"/>
          </w:rPr>
          <w:t xml:space="preserve">Management</w:t>
        </w:r>
        <w:r>
          <w:rPr>
            <w:rStyle w:val="Hyperlink"/>
          </w:rPr>
          <w:t xml:space="preserve"> </w:t>
        </w:r>
        <w:r>
          <w:rPr>
            <w:rStyle w:val="Hyperlink"/>
          </w:rPr>
          <w:t xml:space="preserve">of</w:t>
        </w:r>
        <w:r>
          <w:rPr>
            <w:rStyle w:val="Hyperlink"/>
          </w:rPr>
          <w:t xml:space="preserve"> </w:t>
        </w:r>
        <w:r>
          <w:rPr>
            <w:rStyle w:val="Hyperlink"/>
          </w:rPr>
          <w:t xml:space="preserve">Oak-Dominated Forests</w:t>
        </w:r>
        <w:r>
          <w:rPr>
            <w:rStyle w:val="Hyperlink"/>
          </w:rPr>
          <w:t xml:space="preserve"> </w:t>
        </w:r>
        <w:r>
          <w:rPr>
            <w:rStyle w:val="Hyperlink"/>
          </w:rPr>
          <w:t xml:space="preserve">of the</w:t>
        </w:r>
        <w:r>
          <w:rPr>
            <w:rStyle w:val="Hyperlink"/>
          </w:rPr>
          <w:t xml:space="preserve"> </w:t>
        </w:r>
        <w:r>
          <w:rPr>
            <w:rStyle w:val="Hyperlink"/>
          </w:rPr>
          <w:t xml:space="preserve">Eastern United States</w:t>
        </w:r>
      </w:hyperlink>
      <w:r>
        <w:t xml:space="preserve">. Journal of Forestry 110:257–266.</w:t>
      </w:r>
    </w:p>
    <w:bookmarkEnd w:id="86"/>
    <w:bookmarkStart w:id="88" w:name="ref-asbjornsen2021"/>
    <w:p>
      <w:pPr>
        <w:pStyle w:val="Bibliography"/>
      </w:pPr>
      <w:r>
        <w:t xml:space="preserve">Asbjornsen, H., C. D. McIntire, M. A. Vadeboncoeur, K. A. Jennings, A. P. Coble, and Z. C. Berry. 2021.</w:t>
      </w:r>
      <w:r>
        <w:t xml:space="preserve"> </w:t>
      </w:r>
      <w:hyperlink r:id="rId87">
        <w:r>
          <w:rPr>
            <w:rStyle w:val="Hyperlink"/>
          </w:rPr>
          <w:t xml:space="preserve">Sensitivity and threshold dynamics of pinus strobus and quercus spp. In response to experimental and naturally occurring severe droughts</w:t>
        </w:r>
      </w:hyperlink>
      <w:r>
        <w:t xml:space="preserve">. Tree Physiology 41:1819–1835.</w:t>
      </w:r>
    </w:p>
    <w:bookmarkEnd w:id="88"/>
    <w:bookmarkStart w:id="90" w:name="ref-bassett2020"/>
    <w:p>
      <w:pPr>
        <w:pStyle w:val="Bibliography"/>
      </w:pPr>
      <w:r>
        <w:t xml:space="preserve">Bassett, T. J., D. A. Landis, and L. A. Brudvig. 2020.</w:t>
      </w:r>
      <w:r>
        <w:t xml:space="preserve"> </w:t>
      </w:r>
      <w:hyperlink r:id="rId89">
        <w:r>
          <w:rPr>
            <w:rStyle w:val="Hyperlink"/>
          </w:rPr>
          <w:t xml:space="preserve">Effects of experimental prescribed fire and tree thinning on oak savanna understory plant communities and ecosystem structure</w:t>
        </w:r>
      </w:hyperlink>
      <w:r>
        <w:t xml:space="preserve">. Forest Ecology and Management 464:118047.</w:t>
      </w:r>
    </w:p>
    <w:bookmarkEnd w:id="90"/>
    <w:bookmarkStart w:id="92" w:name="ref-bogdziewicz2020"/>
    <w:p>
      <w:pPr>
        <w:pStyle w:val="Bibliography"/>
      </w:pPr>
      <w:r>
        <w:t xml:space="preserve">Bogdziewicz, M., J. Szymkowiak, R. Calama, E. E. Crone, J. M. Espelta, P. Lesica, S. Marino, M. A. Steele, B. Tenhumberg, A. Tyre, M. Żywiec, and D. Kelly. 2020.</w:t>
      </w:r>
      <w:r>
        <w:t xml:space="preserve"> </w:t>
      </w:r>
      <w:hyperlink r:id="rId91">
        <w:r>
          <w:rPr>
            <w:rStyle w:val="Hyperlink"/>
          </w:rPr>
          <w:t xml:space="preserve">Does masting scale with plant size? High reproductive variability and low synchrony in small and unproductive individuals</w:t>
        </w:r>
      </w:hyperlink>
      <w:r>
        <w:t xml:space="preserve">. Annals of Botany 126:971–979.</w:t>
      </w:r>
    </w:p>
    <w:bookmarkEnd w:id="92"/>
    <w:bookmarkStart w:id="94" w:name="ref-callahan2008"/>
    <w:p>
      <w:pPr>
        <w:pStyle w:val="Bibliography"/>
      </w:pPr>
      <w:r>
        <w:t xml:space="preserve">Callahan, H. S., K. Del Fierro, A. E. Patterson, and H. Zafar. 2008.</w:t>
      </w:r>
      <w:r>
        <w:t xml:space="preserve"> </w:t>
      </w:r>
      <w:hyperlink r:id="rId93">
        <w:r>
          <w:rPr>
            <w:rStyle w:val="Hyperlink"/>
          </w:rPr>
          <w:t xml:space="preserve">Impacts of elevated nitrogen inputs on oak reproductive and seed ecology</w:t>
        </w:r>
      </w:hyperlink>
      <w:r>
        <w:t xml:space="preserve">. Global Change Biology 14:285–293.</w:t>
      </w:r>
    </w:p>
    <w:bookmarkEnd w:id="94"/>
    <w:bookmarkStart w:id="95" w:name="ref-chapin2012"/>
    <w:p>
      <w:pPr>
        <w:pStyle w:val="Bibliography"/>
      </w:pPr>
      <w:r>
        <w:t xml:space="preserve">Chapin, F., and P. Vitousek. 2012. Principles of terrestrial ecosystem ecology. Springer Science &amp; Business Media.</w:t>
      </w:r>
    </w:p>
    <w:bookmarkEnd w:id="95"/>
    <w:bookmarkStart w:id="97" w:name="ref-coble2017"/>
    <w:p>
      <w:pPr>
        <w:pStyle w:val="Bibliography"/>
      </w:pPr>
      <w:r>
        <w:t xml:space="preserve">Coble, A. P., M. A. Vadeboncoeur, Z. C. Berry, K. A. Jennings, C. D. McIntire, J. L. Campbell, L. E. Rustad, P. H. Templer, and H. Asbjornsen. 2017.</w:t>
      </w:r>
      <w:r>
        <w:t xml:space="preserve"> </w:t>
      </w:r>
      <w:hyperlink r:id="rId96">
        <w:r>
          <w:rPr>
            <w:rStyle w:val="Hyperlink"/>
          </w:rPr>
          <w:t xml:space="preserve">Are Northeastern U.S. forests vulnerable to extreme drought?</w:t>
        </w:r>
      </w:hyperlink>
      <w:r>
        <w:t xml:space="preserve"> Ecological Processes 6:34.</w:t>
      </w:r>
    </w:p>
    <w:bookmarkEnd w:id="97"/>
    <w:bookmarkStart w:id="99" w:name="ref-dee2022"/>
    <w:p>
      <w:pPr>
        <w:pStyle w:val="Bibliography"/>
      </w:pPr>
      <w:r>
        <w:t xml:space="preserve">Dee, J. R., M. C. Stambaugh, and D. C. Dey. 2022.</w:t>
      </w:r>
      <w:r>
        <w:t xml:space="preserve"> </w:t>
      </w:r>
      <w:hyperlink r:id="rId98">
        <w:r>
          <w:rPr>
            <w:rStyle w:val="Hyperlink"/>
          </w:rPr>
          <w:t xml:space="preserve">Age, growth, longevity, and post-fire/thinning response of chinkapin oak seedlings in a kansas upland hardwood forest</w:t>
        </w:r>
      </w:hyperlink>
      <w:r>
        <w:t xml:space="preserve">. The Journal of the Torrey Botanical Society 149.</w:t>
      </w:r>
    </w:p>
    <w:bookmarkEnd w:id="99"/>
    <w:bookmarkStart w:id="100" w:name="ref-desmarais1998"/>
    <w:p>
      <w:pPr>
        <w:pStyle w:val="Bibliography"/>
      </w:pPr>
      <w:r>
        <w:t xml:space="preserve">Desmarais, K. 1998. Northern red oak regeneration: Biology and silviculture.</w:t>
      </w:r>
    </w:p>
    <w:bookmarkEnd w:id="100"/>
    <w:bookmarkStart w:id="101" w:name="ref-dey2014"/>
    <w:p>
      <w:pPr>
        <w:pStyle w:val="Bibliography"/>
      </w:pPr>
      <w:r>
        <w:t xml:space="preserve">Dey, D. C. 2014. Sustaining oak forests in eastern north america: Regeneration and recruitment, the pillars of sustainability. Forest Science 60:926–942.</w:t>
      </w:r>
    </w:p>
    <w:bookmarkEnd w:id="101"/>
    <w:bookmarkStart w:id="103" w:name="ref-deyReviewDynamicsPrescribed2018"/>
    <w:p>
      <w:pPr>
        <w:pStyle w:val="Bibliography"/>
      </w:pPr>
      <w:r>
        <w:t xml:space="preserve">Dey, D., and C. Schweitzer. 2018.</w:t>
      </w:r>
      <w:r>
        <w:t xml:space="preserve"> </w:t>
      </w:r>
      <w:hyperlink r:id="rId102">
        <w:r>
          <w:rPr>
            <w:rStyle w:val="Hyperlink"/>
          </w:rPr>
          <w:t xml:space="preserve">A</w:t>
        </w:r>
        <w:r>
          <w:rPr>
            <w:rStyle w:val="Hyperlink"/>
          </w:rPr>
          <w:t xml:space="preserve"> </w:t>
        </w:r>
        <w:r>
          <w:rPr>
            <w:rStyle w:val="Hyperlink"/>
          </w:rPr>
          <w:t xml:space="preserve">Review</w:t>
        </w:r>
        <w:r>
          <w:rPr>
            <w:rStyle w:val="Hyperlink"/>
          </w:rPr>
          <w:t xml:space="preserve"> </w:t>
        </w:r>
        <w:r>
          <w:rPr>
            <w:rStyle w:val="Hyperlink"/>
          </w:rPr>
          <w:t xml:space="preserve">on the</w:t>
        </w:r>
        <w:r>
          <w:rPr>
            <w:rStyle w:val="Hyperlink"/>
          </w:rPr>
          <w:t xml:space="preserve"> </w:t>
        </w:r>
        <w:r>
          <w:rPr>
            <w:rStyle w:val="Hyperlink"/>
          </w:rPr>
          <w:t xml:space="preserve">Dynamics</w:t>
        </w:r>
        <w:r>
          <w:rPr>
            <w:rStyle w:val="Hyperlink"/>
          </w:rPr>
          <w:t xml:space="preserve"> </w:t>
        </w:r>
        <w:r>
          <w:rPr>
            <w:rStyle w:val="Hyperlink"/>
          </w:rPr>
          <w:t xml:space="preserve">of</w:t>
        </w:r>
        <w:r>
          <w:rPr>
            <w:rStyle w:val="Hyperlink"/>
          </w:rPr>
          <w:t xml:space="preserve"> </w:t>
        </w:r>
        <w:r>
          <w:rPr>
            <w:rStyle w:val="Hyperlink"/>
          </w:rPr>
          <w:t xml:space="preserve">Prescribed Fire</w:t>
        </w:r>
        <w:r>
          <w:rPr>
            <w:rStyle w:val="Hyperlink"/>
          </w:rPr>
          <w:t xml:space="preserve">,</w:t>
        </w:r>
        <w:r>
          <w:rPr>
            <w:rStyle w:val="Hyperlink"/>
          </w:rPr>
          <w:t xml:space="preserve"> </w:t>
        </w:r>
        <w:r>
          <w:rPr>
            <w:rStyle w:val="Hyperlink"/>
          </w:rPr>
          <w:t xml:space="preserve">Tree Mortality</w:t>
        </w:r>
        <w:r>
          <w:rPr>
            <w:rStyle w:val="Hyperlink"/>
          </w:rPr>
          <w:t xml:space="preserve">, and</w:t>
        </w:r>
        <w:r>
          <w:rPr>
            <w:rStyle w:val="Hyperlink"/>
          </w:rPr>
          <w:t xml:space="preserve"> </w:t>
        </w:r>
        <w:r>
          <w:rPr>
            <w:rStyle w:val="Hyperlink"/>
          </w:rPr>
          <w:t xml:space="preserve">Injury</w:t>
        </w:r>
        <w:r>
          <w:rPr>
            <w:rStyle w:val="Hyperlink"/>
          </w:rPr>
          <w:t xml:space="preserve"> </w:t>
        </w:r>
        <w:r>
          <w:rPr>
            <w:rStyle w:val="Hyperlink"/>
          </w:rPr>
          <w:t xml:space="preserve">in</w:t>
        </w:r>
        <w:r>
          <w:rPr>
            <w:rStyle w:val="Hyperlink"/>
          </w:rPr>
          <w:t xml:space="preserve"> </w:t>
        </w:r>
        <w:r>
          <w:rPr>
            <w:rStyle w:val="Hyperlink"/>
          </w:rPr>
          <w:t xml:space="preserve">Managing Oak Natural Communities</w:t>
        </w:r>
        <w:r>
          <w:rPr>
            <w:rStyle w:val="Hyperlink"/>
          </w:rPr>
          <w:t xml:space="preserve"> </w:t>
        </w:r>
        <w:r>
          <w:rPr>
            <w:rStyle w:val="Hyperlink"/>
          </w:rPr>
          <w:t xml:space="preserve">to</w:t>
        </w:r>
        <w:r>
          <w:rPr>
            <w:rStyle w:val="Hyperlink"/>
          </w:rPr>
          <w:t xml:space="preserve"> </w:t>
        </w:r>
        <w:r>
          <w:rPr>
            <w:rStyle w:val="Hyperlink"/>
          </w:rPr>
          <w:t xml:space="preserve">Minimize Economic Loss</w:t>
        </w:r>
        <w:r>
          <w:rPr>
            <w:rStyle w:val="Hyperlink"/>
          </w:rPr>
          <w:t xml:space="preserve"> </w:t>
        </w:r>
        <w:r>
          <w:rPr>
            <w:rStyle w:val="Hyperlink"/>
          </w:rPr>
          <w:t xml:space="preserve">in</w:t>
        </w:r>
        <w:r>
          <w:rPr>
            <w:rStyle w:val="Hyperlink"/>
          </w:rPr>
          <w:t xml:space="preserve"> </w:t>
        </w:r>
        <w:r>
          <w:rPr>
            <w:rStyle w:val="Hyperlink"/>
          </w:rPr>
          <w:t xml:space="preserve">North America</w:t>
        </w:r>
      </w:hyperlink>
      <w:r>
        <w:t xml:space="preserve">. Forests 9:461.</w:t>
      </w:r>
    </w:p>
    <w:bookmarkEnd w:id="103"/>
    <w:bookmarkStart w:id="104" w:name="ref-erdmann1990"/>
    <w:p>
      <w:pPr>
        <w:pStyle w:val="Bibliography"/>
      </w:pPr>
      <w:r>
        <w:t xml:space="preserve">Erdmann, G. 1990. Betula alleghaniensis britton. Silvics of North America 2:133–147.</w:t>
      </w:r>
    </w:p>
    <w:bookmarkEnd w:id="104"/>
    <w:bookmarkStart w:id="106" w:name="ref-granger2018"/>
    <w:p>
      <w:pPr>
        <w:pStyle w:val="Bibliography"/>
      </w:pPr>
      <w:r>
        <w:t xml:space="preserve">Granger, J. J., D. S. Buckley, T. L. Sharik, J. M. Zobel, W. W. DeBord, J. P. Hartman, J. G. Henning, T. L. Keyser, and J. M. Marshall. 2018.</w:t>
      </w:r>
      <w:r>
        <w:t xml:space="preserve"> </w:t>
      </w:r>
      <w:hyperlink r:id="rId105">
        <w:r>
          <w:rPr>
            <w:rStyle w:val="Hyperlink"/>
          </w:rPr>
          <w:t xml:space="preserve">Northern red oak regeneration: 25-year results of cutting and prescribed fire in Michigan oak and pine stands</w:t>
        </w:r>
      </w:hyperlink>
      <w:r>
        <w:t xml:space="preserve">. Forest Ecology and Management 429:467–479.</w:t>
      </w:r>
    </w:p>
    <w:bookmarkEnd w:id="106"/>
    <w:bookmarkStart w:id="108" w:name="ref-hipp2018"/>
    <w:p>
      <w:pPr>
        <w:pStyle w:val="Bibliography"/>
      </w:pPr>
      <w:r>
        <w:t xml:space="preserve">Hipp, A. L., P. S. Manos, A. González-Rodríguez, M. Hahn, M. Kaproth, J. D. McVay, S. V. Avalos, and J. Cavender-Bares. 2018.</w:t>
      </w:r>
      <w:r>
        <w:t xml:space="preserve"> </w:t>
      </w:r>
      <w:hyperlink r:id="rId107">
        <w:r>
          <w:rPr>
            <w:rStyle w:val="Hyperlink"/>
          </w:rPr>
          <w:t xml:space="preserve">Sympatric parallel diversification of major oak clades in the Americas and the origins of Mexican species diversity</w:t>
        </w:r>
      </w:hyperlink>
      <w:r>
        <w:t xml:space="preserve">. New Phytologist 217:439–452.</w:t>
      </w:r>
    </w:p>
    <w:bookmarkEnd w:id="108"/>
    <w:bookmarkStart w:id="110" w:name="ref-hutchinson2024"/>
    <w:p>
      <w:pPr>
        <w:pStyle w:val="Bibliography"/>
      </w:pPr>
      <w:r>
        <w:t xml:space="preserve">Hutchinson, T. F., B. T. Adams, M. B. Dickinson, M. Heckel, A. A. Royo, and M. A. Thomas-Van Gundy. 2024.</w:t>
      </w:r>
      <w:r>
        <w:t xml:space="preserve"> </w:t>
      </w:r>
      <w:hyperlink r:id="rId109">
        <w:r>
          <w:rPr>
            <w:rStyle w:val="Hyperlink"/>
          </w:rPr>
          <w:t xml:space="preserve">Sustaining eastern oak forests: Synergistic effects of fire and topography on vegetation and fuels</w:t>
        </w:r>
      </w:hyperlink>
      <w:r>
        <w:t xml:space="preserve">. Ecological Applications 34:e2948.</w:t>
      </w:r>
    </w:p>
    <w:bookmarkEnd w:id="110"/>
    <w:bookmarkStart w:id="112" w:name="ref-iverson2008"/>
    <w:p>
      <w:pPr>
        <w:pStyle w:val="Bibliography"/>
      </w:pPr>
      <w:r>
        <w:t xml:space="preserve">Iverson, L. R., T. F. Hutchinson, A. M. Prasad, and M. P. Peters. 2008.</w:t>
      </w:r>
      <w:r>
        <w:t xml:space="preserve"> </w:t>
      </w:r>
      <w:hyperlink r:id="rId111">
        <w:r>
          <w:rPr>
            <w:rStyle w:val="Hyperlink"/>
          </w:rPr>
          <w:t xml:space="preserve">Thinning, fire, and oak regeneration across a heterogeneous landscape in the eastern U.S.: 7-year results</w:t>
        </w:r>
      </w:hyperlink>
      <w:r>
        <w:t xml:space="preserve">. Forest Ecology and Management 255:3035–3050.</w:t>
      </w:r>
    </w:p>
    <w:bookmarkEnd w:id="112"/>
    <w:bookmarkStart w:id="114" w:name="ref-kolb1990"/>
    <w:p>
      <w:pPr>
        <w:pStyle w:val="Bibliography"/>
      </w:pPr>
      <w:r>
        <w:t xml:space="preserve">Kolb, T. E., K. C. Steiner, L. H. McCormick, and T. W. Bowersox. 1990.</w:t>
      </w:r>
      <w:r>
        <w:t xml:space="preserve"> </w:t>
      </w:r>
      <w:hyperlink r:id="rId113">
        <w:r>
          <w:rPr>
            <w:rStyle w:val="Hyperlink"/>
          </w:rPr>
          <w:t xml:space="preserve">Growth response of northern red-oak and yellow-poplar seedlings to light, soil moisture and nutrients in relation to ecological strategy</w:t>
        </w:r>
      </w:hyperlink>
      <w:r>
        <w:t xml:space="preserve">. Forest Ecology and Management 38:65–78.</w:t>
      </w:r>
    </w:p>
    <w:bookmarkEnd w:id="114"/>
    <w:bookmarkStart w:id="116" w:name="ref-mcewan2006"/>
    <w:p>
      <w:pPr>
        <w:pStyle w:val="Bibliography"/>
      </w:pPr>
      <w:r>
        <w:t xml:space="preserve">McEwan, R. W., and R. N. Muller. 2006.</w:t>
      </w:r>
      <w:r>
        <w:t xml:space="preserve"> </w:t>
      </w:r>
      <w:hyperlink r:id="rId115">
        <w:r>
          <w:rPr>
            <w:rStyle w:val="Hyperlink"/>
          </w:rPr>
          <w:t xml:space="preserve">Spatial and temporal dynamics in canopy dominance of an old-growth central Appalachian forest</w:t>
        </w:r>
      </w:hyperlink>
      <w:r>
        <w:t xml:space="preserve">. Canadian Journal of Forest Research 36:1536–1550.</w:t>
      </w:r>
    </w:p>
    <w:bookmarkEnd w:id="116"/>
    <w:bookmarkStart w:id="118" w:name="ref-mcsheaForestryMattersDecline2007"/>
    <w:p>
      <w:pPr>
        <w:pStyle w:val="Bibliography"/>
      </w:pPr>
      <w:r>
        <w:t xml:space="preserve">Mcshea, W. J., W. M. Healy, P. Devers, T. Fearer, F. H. Koch, D. Stauffer, and J. Waldon. 2007.</w:t>
      </w:r>
      <w:r>
        <w:t xml:space="preserve"> </w:t>
      </w:r>
      <w:hyperlink r:id="rId117">
        <w:r>
          <w:rPr>
            <w:rStyle w:val="Hyperlink"/>
          </w:rPr>
          <w:t xml:space="preserve">Forestry</w:t>
        </w:r>
        <w:r>
          <w:rPr>
            <w:rStyle w:val="Hyperlink"/>
          </w:rPr>
          <w:t xml:space="preserve"> </w:t>
        </w:r>
        <w:r>
          <w:rPr>
            <w:rStyle w:val="Hyperlink"/>
          </w:rPr>
          <w:t xml:space="preserve">Matters</w:t>
        </w:r>
        <w:r>
          <w:rPr>
            <w:rStyle w:val="Hyperlink"/>
          </w:rPr>
          <w:t xml:space="preserve">:</w:t>
        </w:r>
        <w:r>
          <w:rPr>
            <w:rStyle w:val="Hyperlink"/>
          </w:rPr>
          <w:t xml:space="preserve"> </w:t>
        </w:r>
        <w:r>
          <w:rPr>
            <w:rStyle w:val="Hyperlink"/>
          </w:rPr>
          <w:t xml:space="preserve">Decline</w:t>
        </w:r>
        <w:r>
          <w:rPr>
            <w:rStyle w:val="Hyperlink"/>
          </w:rPr>
          <w:t xml:space="preserve"> </w:t>
        </w:r>
        <w:r>
          <w:rPr>
            <w:rStyle w:val="Hyperlink"/>
          </w:rPr>
          <w:t xml:space="preserve">of</w:t>
        </w:r>
        <w:r>
          <w:rPr>
            <w:rStyle w:val="Hyperlink"/>
          </w:rPr>
          <w:t xml:space="preserve"> </w:t>
        </w:r>
        <w:r>
          <w:rPr>
            <w:rStyle w:val="Hyperlink"/>
          </w:rPr>
          <w:t xml:space="preserve">Oaks Will Impact Wildlife</w:t>
        </w:r>
        <w:r>
          <w:rPr>
            <w:rStyle w:val="Hyperlink"/>
          </w:rPr>
          <w:t xml:space="preserve"> </w:t>
        </w:r>
        <w:r>
          <w:rPr>
            <w:rStyle w:val="Hyperlink"/>
          </w:rPr>
          <w:t xml:space="preserve">in</w:t>
        </w:r>
        <w:r>
          <w:rPr>
            <w:rStyle w:val="Hyperlink"/>
          </w:rPr>
          <w:t xml:space="preserve"> </w:t>
        </w:r>
        <w:r>
          <w:rPr>
            <w:rStyle w:val="Hyperlink"/>
          </w:rPr>
          <w:t xml:space="preserve">Hardwood Forests</w:t>
        </w:r>
      </w:hyperlink>
      <w:r>
        <w:t xml:space="preserve">. The Journal of Wildlife Management 71:1717–1728.</w:t>
      </w:r>
    </w:p>
    <w:bookmarkEnd w:id="118"/>
    <w:bookmarkStart w:id="120" w:name="ref-nagel2017"/>
    <w:p>
      <w:pPr>
        <w:pStyle w:val="Bibliography"/>
      </w:pPr>
      <w:r>
        <w:t xml:space="preserve">Nagel, L. M., B. J. Palik, M. A. Battaglia, A. W. D’Amato, J. M. Guldin, C. W. Swanston, M. K. Janowiak, M. P. Powers, L. A. Joyce, C. I. Millar, D. L. Peterson, L. M. Ganio, C. Kirschbaum, and M. R. Roske. 2017.</w:t>
      </w:r>
      <w:r>
        <w:t xml:space="preserve"> </w:t>
      </w:r>
      <w:hyperlink r:id="rId119">
        <w:r>
          <w:rPr>
            <w:rStyle w:val="Hyperlink"/>
          </w:rPr>
          <w:t xml:space="preserve">Adaptive Silviculture for Climate Change: A National Experiment in Manager-Scientist Partnerships to Apply an Adaptation Framework</w:t>
        </w:r>
      </w:hyperlink>
      <w:r>
        <w:t xml:space="preserve">. Journal of Forestry 115:167–178.</w:t>
      </w:r>
    </w:p>
    <w:bookmarkEnd w:id="120"/>
    <w:bookmarkStart w:id="122" w:name="ref-nowackiDemiseFireMesophication2008"/>
    <w:p>
      <w:pPr>
        <w:pStyle w:val="Bibliography"/>
      </w:pPr>
      <w:r>
        <w:t xml:space="preserve">Nowacki, G. J., and M. D. Abrams. 2008.</w:t>
      </w:r>
      <w:r>
        <w:t xml:space="preserve"> </w:t>
      </w:r>
      <w:hyperlink r:id="rId121">
        <w:r>
          <w:rPr>
            <w:rStyle w:val="Hyperlink"/>
          </w:rPr>
          <w:t xml:space="preserve">The</w:t>
        </w:r>
        <w:r>
          <w:rPr>
            <w:rStyle w:val="Hyperlink"/>
          </w:rPr>
          <w:t xml:space="preserve"> </w:t>
        </w:r>
        <w:r>
          <w:rPr>
            <w:rStyle w:val="Hyperlink"/>
          </w:rPr>
          <w:t xml:space="preserve">Demise</w:t>
        </w:r>
        <w:r>
          <w:rPr>
            <w:rStyle w:val="Hyperlink"/>
          </w:rPr>
          <w:t xml:space="preserve"> </w:t>
        </w:r>
        <w:r>
          <w:rPr>
            <w:rStyle w:val="Hyperlink"/>
          </w:rPr>
          <w:t xml:space="preserve">of</w:t>
        </w:r>
        <w:r>
          <w:rPr>
            <w:rStyle w:val="Hyperlink"/>
          </w:rPr>
          <w:t xml:space="preserve"> </w:t>
        </w:r>
        <w:r>
          <w:rPr>
            <w:rStyle w:val="Hyperlink"/>
          </w:rPr>
          <w:t xml:space="preserve">Fire</w:t>
        </w:r>
        <w:r>
          <w:rPr>
            <w:rStyle w:val="Hyperlink"/>
          </w:rPr>
          <w:t xml:space="preserve"> </w:t>
        </w:r>
        <w:r>
          <w:rPr>
            <w:rStyle w:val="Hyperlink"/>
          </w:rPr>
          <w:t xml:space="preserve">and</w:t>
        </w:r>
        <w:r>
          <w:rPr>
            <w:rStyle w:val="Hyperlink"/>
          </w:rPr>
          <w:t xml:space="preserve"> </w:t>
        </w:r>
        <w:r>
          <w:rPr>
            <w:rStyle w:val="Hyperlink"/>
          </w:rPr>
          <w:t xml:space="preserve">“</w:t>
        </w:r>
        <w:r>
          <w:rPr>
            <w:rStyle w:val="Hyperlink"/>
          </w:rPr>
          <w:t xml:space="preserve">Mesophication</w:t>
        </w:r>
        <w:r>
          <w:rPr>
            <w:rStyle w:val="Hyperlink"/>
          </w:rPr>
          <w:t xml:space="preserve">”</w:t>
        </w:r>
        <w:r>
          <w:rPr>
            <w:rStyle w:val="Hyperlink"/>
          </w:rPr>
          <w:t xml:space="preserve"> </w:t>
        </w:r>
        <w:r>
          <w:rPr>
            <w:rStyle w:val="Hyperlink"/>
          </w:rPr>
          <w:t xml:space="preserve">of</w:t>
        </w:r>
        <w:r>
          <w:rPr>
            <w:rStyle w:val="Hyperlink"/>
          </w:rPr>
          <w:t xml:space="preserve"> </w:t>
        </w:r>
        <w:r>
          <w:rPr>
            <w:rStyle w:val="Hyperlink"/>
          </w:rPr>
          <w:t xml:space="preserve">Forests</w:t>
        </w:r>
        <w:r>
          <w:rPr>
            <w:rStyle w:val="Hyperlink"/>
          </w:rPr>
          <w:t xml:space="preserve"> </w:t>
        </w:r>
        <w:r>
          <w:rPr>
            <w:rStyle w:val="Hyperlink"/>
          </w:rPr>
          <w:t xml:space="preserve">in the</w:t>
        </w:r>
        <w:r>
          <w:rPr>
            <w:rStyle w:val="Hyperlink"/>
          </w:rPr>
          <w:t xml:space="preserve"> </w:t>
        </w:r>
        <w:r>
          <w:rPr>
            <w:rStyle w:val="Hyperlink"/>
          </w:rPr>
          <w:t xml:space="preserve">Eastern United States</w:t>
        </w:r>
      </w:hyperlink>
      <w:r>
        <w:t xml:space="preserve">. BioScience 58:123–138.</w:t>
      </w:r>
    </w:p>
    <w:bookmarkEnd w:id="122"/>
    <w:bookmarkStart w:id="124" w:name="ref-nowacki2024"/>
    <w:p>
      <w:pPr>
        <w:pStyle w:val="Bibliography"/>
      </w:pPr>
      <w:r>
        <w:t xml:space="preserve">Nowacki, G. J., and M. A. Thomas-Van Gundy. 2024.</w:t>
      </w:r>
      <w:r>
        <w:t xml:space="preserve"> </w:t>
      </w:r>
      <w:hyperlink r:id="rId123">
        <w:r>
          <w:rPr>
            <w:rStyle w:val="Hyperlink"/>
          </w:rPr>
          <w:t xml:space="preserve">Using witness trees as pyro-indicators to depict past fire environments across the eastern United States</w:t>
        </w:r>
      </w:hyperlink>
      <w:r>
        <w:t xml:space="preserve">. Fire Ecology 20:13.</w:t>
      </w:r>
    </w:p>
    <w:bookmarkEnd w:id="124"/>
    <w:bookmarkStart w:id="126" w:name="ref-petersClimateChangeTree2020"/>
    <w:p>
      <w:pPr>
        <w:pStyle w:val="Bibliography"/>
      </w:pPr>
      <w:r>
        <w:t xml:space="preserve">Peters, M. P., S. N. Matthews, and L. R. Iverson. 2020a.</w:t>
      </w:r>
      <w:r>
        <w:t xml:space="preserve"> </w:t>
      </w:r>
      <w:hyperlink r:id="rId125">
        <w:r>
          <w:rPr>
            <w:rStyle w:val="Hyperlink"/>
          </w:rPr>
          <w:t xml:space="preserve">Climate change tree atlas,</w:t>
        </w:r>
        <w:r>
          <w:rPr>
            <w:rStyle w:val="Hyperlink"/>
          </w:rPr>
          <w:t xml:space="preserve"> </w:t>
        </w:r>
        <w:r>
          <w:rPr>
            <w:rStyle w:val="Hyperlink"/>
          </w:rPr>
          <w:t xml:space="preserve">Version</w:t>
        </w:r>
        <w:r>
          <w:rPr>
            <w:rStyle w:val="Hyperlink"/>
          </w:rPr>
          <w:t xml:space="preserve"> </w:t>
        </w:r>
        <w:r>
          <w:rPr>
            <w:rStyle w:val="Hyperlink"/>
          </w:rPr>
          <w:t xml:space="preserve">4</w:t>
        </w:r>
      </w:hyperlink>
      <w:r>
        <w:t xml:space="preserve">. U.S. Forest Service, Northern Research Station and Northern Institute of Applied Climate Science, Delaware, OH.</w:t>
      </w:r>
    </w:p>
    <w:bookmarkEnd w:id="126"/>
    <w:bookmarkStart w:id="127" w:name="ref-peters2020"/>
    <w:p>
      <w:pPr>
        <w:pStyle w:val="Bibliography"/>
      </w:pPr>
      <w:r>
        <w:t xml:space="preserve">Peters, M. P., S. N. Matthews, and L. R. Iverson. 2020b.</w:t>
      </w:r>
      <w:r>
        <w:t xml:space="preserve"> </w:t>
      </w:r>
      <w:hyperlink r:id="rId125">
        <w:r>
          <w:rPr>
            <w:rStyle w:val="Hyperlink"/>
          </w:rPr>
          <w:t xml:space="preserve">Climate change tree atlas, version 4</w:t>
        </w:r>
      </w:hyperlink>
      <w:r>
        <w:t xml:space="preserve">. U.S. Forest Service, Northern Research Station and Northern Institute of Applied Climate Science, Delaware, OH.</w:t>
      </w:r>
    </w:p>
    <w:bookmarkEnd w:id="127"/>
    <w:bookmarkStart w:id="128" w:name="ref-riccardi2004"/>
    <w:p>
      <w:pPr>
        <w:pStyle w:val="Bibliography"/>
      </w:pPr>
      <w:r>
        <w:t xml:space="preserve">Riccardi, C., B. C. McCarthy, and R. Long. 2004. Oak seed production, weevil (coleoptera: Curculionidae) populations, and predation rates in mixed-oak forests of southeast ohio. Pages 10–21. Wooster, OH.</w:t>
      </w:r>
    </w:p>
    <w:bookmarkEnd w:id="128"/>
    <w:bookmarkStart w:id="129" w:name="ref-sander1990"/>
    <w:p>
      <w:pPr>
        <w:pStyle w:val="Bibliography"/>
      </w:pPr>
      <w:r>
        <w:t xml:space="preserve">Sander, I. 1990. Quercus rubra l. Northern red oak. Silvics of North America 2:727–733.</w:t>
      </w:r>
    </w:p>
    <w:bookmarkEnd w:id="129"/>
    <w:bookmarkStart w:id="130" w:name="ref-schuler2010"/>
    <w:p>
      <w:pPr>
        <w:pStyle w:val="Bibliography"/>
      </w:pPr>
      <w:r>
        <w:t xml:space="preserve">Schuler, T. M., M. T. Van-Gundy, M. B. Adams, and W. M. Ford. 2010. Seed bank repsonse to prescribed fire in the central appalachians. Page 9.</w:t>
      </w:r>
    </w:p>
    <w:bookmarkEnd w:id="130"/>
    <w:bookmarkStart w:id="132" w:name="ref-smith2022"/>
    <w:p>
      <w:pPr>
        <w:pStyle w:val="Bibliography"/>
      </w:pPr>
      <w:r>
        <w:t xml:space="preserve">Smith, S. J., B. C. McCarthy, T. F. Hutchinson, and R. S. Snell. 2022.</w:t>
      </w:r>
      <w:r>
        <w:t xml:space="preserve"> </w:t>
      </w:r>
      <w:hyperlink r:id="rId131">
        <w:r>
          <w:rPr>
            <w:rStyle w:val="Hyperlink"/>
          </w:rPr>
          <w:t xml:space="preserve">Individual-level variation in reproductive effort in chestnut oak (Quercus montana Willd.) and black oak (Q. Velutina Lam.)</w:t>
        </w:r>
      </w:hyperlink>
      <w:r>
        <w:t xml:space="preserve">. Forest Ecology and Management 508:120029.</w:t>
      </w:r>
    </w:p>
    <w:bookmarkEnd w:id="132"/>
    <w:bookmarkStart w:id="134" w:name="ref-sork1993"/>
    <w:p>
      <w:pPr>
        <w:pStyle w:val="Bibliography"/>
      </w:pPr>
      <w:r>
        <w:t xml:space="preserve">Sork, V. L., J. Bramble, and O. Sexton. 1993.</w:t>
      </w:r>
      <w:r>
        <w:t xml:space="preserve"> </w:t>
      </w:r>
      <w:hyperlink r:id="rId133">
        <w:r>
          <w:rPr>
            <w:rStyle w:val="Hyperlink"/>
          </w:rPr>
          <w:t xml:space="preserve">Ecology of Mast</w:t>
        </w:r>
        <w:r>
          <w:rPr>
            <w:rStyle w:val="Hyperlink"/>
          </w:rPr>
          <w:t xml:space="preserve">-</w:t>
        </w:r>
        <w:r>
          <w:rPr>
            <w:rStyle w:val="Hyperlink"/>
          </w:rPr>
          <w:t xml:space="preserve">Fruiting in Three Species of North American Deciduous Oaks</w:t>
        </w:r>
      </w:hyperlink>
      <w:r>
        <w:t xml:space="preserve">. Ecology 74:528–541.</w:t>
      </w:r>
    </w:p>
    <w:bookmarkEnd w:id="134"/>
    <w:bookmarkStart w:id="136" w:name="ref-stephens2023"/>
    <w:p>
      <w:pPr>
        <w:pStyle w:val="Bibliography"/>
      </w:pPr>
      <w:r>
        <w:t xml:space="preserve">Stephens, E. Z., and P. M. Homyak. 2023.</w:t>
      </w:r>
      <w:r>
        <w:t xml:space="preserve"> </w:t>
      </w:r>
      <w:hyperlink r:id="rId135">
        <w:r>
          <w:rPr>
            <w:rStyle w:val="Hyperlink"/>
          </w:rPr>
          <w:t xml:space="preserve">Post-fire soil emissions of nitric oxide (NO) and nitrous oxide (N2O) across global ecosystems: a review</w:t>
        </w:r>
      </w:hyperlink>
      <w:r>
        <w:t xml:space="preserve">. Biogeochemistry 165:291–309.</w:t>
      </w:r>
    </w:p>
    <w:bookmarkEnd w:id="136"/>
    <w:bookmarkStart w:id="138" w:name="ref-su2022"/>
    <w:p>
      <w:pPr>
        <w:pStyle w:val="Bibliography"/>
      </w:pPr>
      <w:r>
        <w:t xml:space="preserve">Su, W.-Q., M. Yu, J. Lin, C. Tang, and J. Xu. 2022.</w:t>
      </w:r>
      <w:r>
        <w:t xml:space="preserve"> </w:t>
      </w:r>
      <w:hyperlink r:id="rId137">
        <w:r>
          <w:rPr>
            <w:rStyle w:val="Hyperlink"/>
          </w:rPr>
          <w:t xml:space="preserve">Fire decreases gross mineralization rate but does not alter gross nitrification rate in boreal forest soils</w:t>
        </w:r>
      </w:hyperlink>
      <w:r>
        <w:t xml:space="preserve">. Soil Biology and Biochemistry 175:108838.</w:t>
      </w:r>
    </w:p>
    <w:bookmarkEnd w:id="138"/>
    <w:bookmarkStart w:id="139" w:name="ref-tubbs1990"/>
    <w:p>
      <w:pPr>
        <w:pStyle w:val="Bibliography"/>
      </w:pPr>
      <w:r>
        <w:t xml:space="preserve">Tubbs, C., and D. Houston. 1990. Fagus grandifolia ehrh. American beech. Silvics of North America 2:325.</w:t>
      </w:r>
    </w:p>
    <w:bookmarkEnd w:id="139"/>
    <w:bookmarkStart w:id="141" w:name="ref-usdaforestservice2005"/>
    <w:p>
      <w:pPr>
        <w:pStyle w:val="Bibliography"/>
      </w:pPr>
      <w:r>
        <w:t xml:space="preserve">USDA Forest Service. 2005.</w:t>
      </w:r>
      <w:r>
        <w:t xml:space="preserve"> </w:t>
      </w:r>
      <w:hyperlink r:id="rId140">
        <w:r>
          <w:rPr>
            <w:rStyle w:val="Hyperlink"/>
          </w:rPr>
          <w:t xml:space="preserve">Land and resource management plan</w:t>
        </w:r>
      </w:hyperlink>
      <w:r>
        <w:t xml:space="preserve">. Laconia, NH.</w:t>
      </w:r>
    </w:p>
    <w:bookmarkEnd w:id="141"/>
    <w:bookmarkStart w:id="143" w:name="ref-vadeboncoeur2010"/>
    <w:p>
      <w:pPr>
        <w:pStyle w:val="Bibliography"/>
      </w:pPr>
      <w:r>
        <w:t xml:space="preserve">Vadeboncoeur, M. A. 2010.</w:t>
      </w:r>
      <w:r>
        <w:t xml:space="preserve"> </w:t>
      </w:r>
      <w:hyperlink r:id="rId142">
        <w:r>
          <w:rPr>
            <w:rStyle w:val="Hyperlink"/>
          </w:rPr>
          <w:t xml:space="preserve">Meta-analysis of fertilization experiments indicates multiple limiting nutrients in northeastern deciduous forests</w:t>
        </w:r>
      </w:hyperlink>
      <w:r>
        <w:t xml:space="preserve">. Canadian Journal of Forest Research 40:1766–1780.</w:t>
      </w:r>
    </w:p>
    <w:bookmarkEnd w:id="143"/>
    <w:bookmarkStart w:id="144" w:name="ref-walters1990"/>
    <w:p>
      <w:pPr>
        <w:pStyle w:val="Bibliography"/>
      </w:pPr>
      <w:r>
        <w:t xml:space="preserve">Walters, R., and H. Yawney. 1990. Acer rubrum l. Red maple. Silvics of North America 2:60–69.</w:t>
      </w:r>
    </w:p>
    <w:bookmarkEnd w:id="144"/>
    <w:bookmarkStart w:id="146" w:name="ref-wan2001"/>
    <w:p>
      <w:pPr>
        <w:pStyle w:val="Bibliography"/>
      </w:pPr>
      <w:r>
        <w:t xml:space="preserve">Wan, S., D. Hui, and Y. Luo. 2001.</w:t>
      </w:r>
      <w:r>
        <w:t xml:space="preserve"> </w:t>
      </w:r>
      <w:hyperlink r:id="rId145">
        <w:r>
          <w:rPr>
            <w:rStyle w:val="Hyperlink"/>
          </w:rPr>
          <w:t xml:space="preserve">FIRE EFFECTS ON NITROGEN POOLS AND DYNAMICS IN TERRESTRIAL ECOSYSTEMS: A META-ANALYSIS</w:t>
        </w:r>
      </w:hyperlink>
      <w:r>
        <w:t xml:space="preserve">. Ecological Applications 11:1349–1365.</w:t>
      </w:r>
    </w:p>
    <w:bookmarkEnd w:id="146"/>
    <w:bookmarkStart w:id="148" w:name="ref-wang2014"/>
    <w:p>
      <w:pPr>
        <w:pStyle w:val="Bibliography"/>
      </w:pPr>
      <w:r>
        <w:t xml:space="preserve">Wang, Y., Z. Xu, and Q. Zhou. 2014.</w:t>
      </w:r>
      <w:r>
        <w:t xml:space="preserve"> </w:t>
      </w:r>
      <w:hyperlink r:id="rId147">
        <w:r>
          <w:rPr>
            <w:rStyle w:val="Hyperlink"/>
          </w:rPr>
          <w:t xml:space="preserve">Impact of fire on soil gross nitrogen transformations in forest ecosystems</w:t>
        </w:r>
      </w:hyperlink>
      <w:r>
        <w:t xml:space="preserve">. Journal of Soils and Sediments 14:1030–1040.</w:t>
      </w:r>
    </w:p>
    <w:bookmarkEnd w:id="148"/>
    <w:bookmarkStart w:id="149" w:name="ref-yuan2025"/>
    <w:p>
      <w:pPr>
        <w:pStyle w:val="Bibliography"/>
      </w:pPr>
      <w:r>
        <w:t xml:space="preserve">Yu’an, W. 2025. Plant biodiversity and drought resilience: Insights from a resilience model study in north america. Ecological Frontiers 45:507–513.</w:t>
      </w:r>
    </w:p>
    <w:bookmarkEnd w:id="149"/>
    <w:bookmarkStart w:id="150" w:name="ref-zasada2008"/>
    <w:p>
      <w:pPr>
        <w:pStyle w:val="Bibliography"/>
      </w:pPr>
      <w:r>
        <w:t xml:space="preserve">Zasada, J., and J. Tappeiner III. 2008. Rubus l. Blackberry, raspberry. Woody Plant Seed Manual 727:984–996.</w:t>
      </w:r>
    </w:p>
    <w:bookmarkEnd w:id="150"/>
    <w:bookmarkStart w:id="152" w:name="ref-zhu2024"/>
    <w:p>
      <w:pPr>
        <w:pStyle w:val="Bibliography"/>
      </w:pPr>
      <w:r>
        <w:t xml:space="preserve">Zhu, Q., J. Liu, L. Liu, K. A. El-Tarabily, Y. Uwiragiye, X. Dan, S. Tang, Y. Wu, T. Zhu, L. Meng, J. Zhang, C. Müller, and A. S. Elrys. 2024.</w:t>
      </w:r>
      <w:r>
        <w:t xml:space="preserve"> </w:t>
      </w:r>
      <w:hyperlink r:id="rId151">
        <w:r>
          <w:rPr>
            <w:rStyle w:val="Hyperlink"/>
          </w:rPr>
          <w:t xml:space="preserve">Fire Reduces Soil Nitrate Retention While Increasing Soil Nitrogen Production and Loss Globally</w:t>
        </w:r>
      </w:hyperlink>
      <w:r>
        <w:t xml:space="preserve">. Environmental Science &amp; Technology 58:23004–23017.</w:t>
      </w:r>
    </w:p>
    <w:bookmarkEnd w:id="152"/>
    <w:bookmarkEnd w:id="153"/>
    <w:bookmarkEnd w:id="154"/>
    <w:bookmarkEnd w:id="15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 Target="media/rId43.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52" Target="media/rId52.jpg" /><Relationship Type="http://schemas.openxmlformats.org/officeDocument/2006/relationships/image" Id="rId48" Target="media/rId48.jpg" /><Relationship Type="http://schemas.openxmlformats.org/officeDocument/2006/relationships/image" Id="rId25" Target="media/rId25.png" /><Relationship Type="http://schemas.openxmlformats.org/officeDocument/2006/relationships/hyperlink" Id="rId74" Target="https://CRAN.R-project.org/package=dplyr" TargetMode="External" /><Relationship Type="http://schemas.openxmlformats.org/officeDocument/2006/relationships/hyperlink" Id="rId69" Target="https://CRAN.R-project.org/package=forcats" TargetMode="External" /><Relationship Type="http://schemas.openxmlformats.org/officeDocument/2006/relationships/hyperlink" Id="rId73" Target="https://CRAN.R-project.org/package=ggplot2" TargetMode="External" /><Relationship Type="http://schemas.openxmlformats.org/officeDocument/2006/relationships/hyperlink" Id="rId68" Target="https://CRAN.R-project.org/package=lubridate" TargetMode="External" /><Relationship Type="http://schemas.openxmlformats.org/officeDocument/2006/relationships/hyperlink" Id="rId75" Target="https://CRAN.R-project.org/package=purrr" TargetMode="External" /><Relationship Type="http://schemas.openxmlformats.org/officeDocument/2006/relationships/hyperlink" Id="rId76" Target="https://CRAN.R-project.org/package=readr" TargetMode="External" /><Relationship Type="http://schemas.openxmlformats.org/officeDocument/2006/relationships/hyperlink" Id="rId64" Target="https://CRAN.R-project.org/package=shiny" TargetMode="External" /><Relationship Type="http://schemas.openxmlformats.org/officeDocument/2006/relationships/hyperlink" Id="rId71" Target="https://CRAN.R-project.org/package=stringr" TargetMode="External" /><Relationship Type="http://schemas.openxmlformats.org/officeDocument/2006/relationships/hyperlink" Id="rId66" Target="https://CRAN.R-project.org/package=tibble" TargetMode="External" /><Relationship Type="http://schemas.openxmlformats.org/officeDocument/2006/relationships/hyperlink" Id="rId77" Target="https://CRAN.R-project.org/package=tidyr" TargetMode="External" /><Relationship Type="http://schemas.openxmlformats.org/officeDocument/2006/relationships/hyperlink" Id="rId72" Target="https://CRAN.R-project.org/package=tidyverse" TargetMode="External" /><Relationship Type="http://schemas.openxmlformats.org/officeDocument/2006/relationships/hyperlink" Id="rId109" Target="https://doi.org/10.1002/eap.2948" TargetMode="External" /><Relationship Type="http://schemas.openxmlformats.org/officeDocument/2006/relationships/hyperlink" Id="rId135" Target="https://doi.org/10.1007/s10533-023-01072-5" TargetMode="External" /><Relationship Type="http://schemas.openxmlformats.org/officeDocument/2006/relationships/hyperlink" Id="rId147" Target="https://doi.org/10.1007/s11368-014-0879-3" TargetMode="External" /><Relationship Type="http://schemas.openxmlformats.org/officeDocument/2006/relationships/hyperlink" Id="rId113" Target="https://doi.org/10.1016/0378-1127(90)90086-Q" TargetMode="External" /><Relationship Type="http://schemas.openxmlformats.org/officeDocument/2006/relationships/hyperlink" Id="rId111" Target="https://doi.org/10.1016/j.foreco.2007.09.088" TargetMode="External" /><Relationship Type="http://schemas.openxmlformats.org/officeDocument/2006/relationships/hyperlink" Id="rId105" Target="https://doi.org/10.1016/j.foreco.2018.06.003" TargetMode="External" /><Relationship Type="http://schemas.openxmlformats.org/officeDocument/2006/relationships/hyperlink" Id="rId89" Target="https://doi.org/10.1016/j.foreco.2020.118047" TargetMode="External" /><Relationship Type="http://schemas.openxmlformats.org/officeDocument/2006/relationships/hyperlink" Id="rId131" Target="https://doi.org/10.1016/j.foreco.2022.120029" TargetMode="External" /><Relationship Type="http://schemas.openxmlformats.org/officeDocument/2006/relationships/hyperlink" Id="rId137" Target="https://doi.org/10.1016/j.soilbio.2022.108838" TargetMode="External" /><Relationship Type="http://schemas.openxmlformats.org/officeDocument/2006/relationships/hyperlink" Id="rId151" Target="https://doi.org/10.1021/acs.est.4c06208" TargetMode="External" /><Relationship Type="http://schemas.openxmlformats.org/officeDocument/2006/relationships/hyperlink" Id="rId91" Target="https://doi.org/10.1093/aob/mcaa118" TargetMode="External" /><Relationship Type="http://schemas.openxmlformats.org/officeDocument/2006/relationships/hyperlink" Id="rId87" Target="https://doi.org/10.1093/treephys/tpab056" TargetMode="External" /><Relationship Type="http://schemas.openxmlformats.org/officeDocument/2006/relationships/hyperlink" Id="rId93" Target="https://doi.org/10.1111/j.1365-2486.2007.01483.x" TargetMode="External" /><Relationship Type="http://schemas.openxmlformats.org/officeDocument/2006/relationships/hyperlink" Id="rId107" Target="https://doi.org/10.1111/nph.14773" TargetMode="External" /><Relationship Type="http://schemas.openxmlformats.org/officeDocument/2006/relationships/hyperlink" Id="rId142" Target="https://doi.org/10.1139/X10-127" TargetMode="External" /><Relationship Type="http://schemas.openxmlformats.org/officeDocument/2006/relationships/hyperlink" Id="rId115" Target="https://doi.org/10.1139/x06-046" TargetMode="External" /><Relationship Type="http://schemas.openxmlformats.org/officeDocument/2006/relationships/hyperlink" Id="rId96" Target="https://doi.org/10.1186/s13717-017-0100-x" TargetMode="External" /><Relationship Type="http://schemas.openxmlformats.org/officeDocument/2006/relationships/hyperlink" Id="rId123" Target="https://doi.org/10.1186/s42408-024-00247-1" TargetMode="External" /><Relationship Type="http://schemas.openxmlformats.org/officeDocument/2006/relationships/hyperlink" Id="rId121" Target="https://doi.org/10.1641/B580207" TargetMode="External" /><Relationship Type="http://schemas.openxmlformats.org/officeDocument/2006/relationships/hyperlink" Id="rId145" Target="https://doi.org/10.1890/1051-0761(2001)011[1349:FEONPA]2.0.CO;2" TargetMode="External" /><Relationship Type="http://schemas.openxmlformats.org/officeDocument/2006/relationships/hyperlink" Id="rId117" Target="https://doi.org/10.2193/2006-169" TargetMode="External" /><Relationship Type="http://schemas.openxmlformats.org/officeDocument/2006/relationships/hyperlink" Id="rId82" Target="https://doi.org/10.2307/1311781" TargetMode="External" /><Relationship Type="http://schemas.openxmlformats.org/officeDocument/2006/relationships/hyperlink" Id="rId133" Target="https://doi.org/10.2307/1939313" TargetMode="External" /><Relationship Type="http://schemas.openxmlformats.org/officeDocument/2006/relationships/hyperlink" Id="rId98" Target="https://doi.org/10.3159/TORREY-D-21-00027.1" TargetMode="External" /><Relationship Type="http://schemas.openxmlformats.org/officeDocument/2006/relationships/hyperlink" Id="rId102" Target="https://doi.org/10.3390/f9080461" TargetMode="External" /><Relationship Type="http://schemas.openxmlformats.org/officeDocument/2006/relationships/hyperlink" Id="rId85" Target="https://doi.org/10.5849/jof.11-080" TargetMode="External" /><Relationship Type="http://schemas.openxmlformats.org/officeDocument/2006/relationships/hyperlink" Id="rId119" Target="https://doi.org/10.5849/jof.16-039" TargetMode="External" /><Relationship Type="http://schemas.openxmlformats.org/officeDocument/2006/relationships/hyperlink" Id="rId70" Target="https://ggplot2.tidyverse.org" TargetMode="External" /><Relationship Type="http://schemas.openxmlformats.org/officeDocument/2006/relationships/hyperlink" Id="rId63" Target="https://github.com/cboettig/knitcitations" TargetMode="External" /><Relationship Type="http://schemas.openxmlformats.org/officeDocument/2006/relationships/hyperlink" Id="rId62" Target="https://github.com/crsh/citr" TargetMode="External" /><Relationship Type="http://schemas.openxmlformats.org/officeDocument/2006/relationships/hyperlink" Id="rId80" Target="https://github.com/rstudio/tinytex" TargetMode="External" /><Relationship Type="http://schemas.openxmlformats.org/officeDocument/2006/relationships/hyperlink" Id="rId79" Target="https://tug.org/TUGboat/Contents/contents40-1.html" TargetMode="External" /><Relationship Type="http://schemas.openxmlformats.org/officeDocument/2006/relationships/hyperlink" Id="rId67" Target="https://www.R-project.org/" TargetMode="External" /><Relationship Type="http://schemas.openxmlformats.org/officeDocument/2006/relationships/hyperlink" Id="rId140" Target="https://www.fs.usda.gov/detail/whitemountain/landmanagement/planning/?cid=STELPRDB5199941" TargetMode="External" /><Relationship Type="http://schemas.openxmlformats.org/officeDocument/2006/relationships/hyperlink" Id="rId65" Target="https://www.jstatsoft.org/v40/i03/" TargetMode="External" /><Relationship Type="http://schemas.openxmlformats.org/officeDocument/2006/relationships/hyperlink" Id="rId125" Target="https://www.nrs.fs.fed.us/atlas" TargetMode="External" /><Relationship Type="http://schemas.openxmlformats.org/officeDocument/2006/relationships/hyperlink" Id="rId78" Target="https://yihui.org/knitr/" TargetMode="External" /></Relationships>
</file>

<file path=word/_rels/footnotes.xml.rels><?xml version="1.0" encoding="UTF-8"?><Relationships xmlns="http://schemas.openxmlformats.org/package/2006/relationships"><Relationship Type="http://schemas.openxmlformats.org/officeDocument/2006/relationships/hyperlink" Id="rId74" Target="https://CRAN.R-project.org/package=dplyr" TargetMode="External" /><Relationship Type="http://schemas.openxmlformats.org/officeDocument/2006/relationships/hyperlink" Id="rId69" Target="https://CRAN.R-project.org/package=forcats" TargetMode="External" /><Relationship Type="http://schemas.openxmlformats.org/officeDocument/2006/relationships/hyperlink" Id="rId73" Target="https://CRAN.R-project.org/package=ggplot2" TargetMode="External" /><Relationship Type="http://schemas.openxmlformats.org/officeDocument/2006/relationships/hyperlink" Id="rId68" Target="https://CRAN.R-project.org/package=lubridate" TargetMode="External" /><Relationship Type="http://schemas.openxmlformats.org/officeDocument/2006/relationships/hyperlink" Id="rId75" Target="https://CRAN.R-project.org/package=purrr" TargetMode="External" /><Relationship Type="http://schemas.openxmlformats.org/officeDocument/2006/relationships/hyperlink" Id="rId76" Target="https://CRAN.R-project.org/package=readr" TargetMode="External" /><Relationship Type="http://schemas.openxmlformats.org/officeDocument/2006/relationships/hyperlink" Id="rId64" Target="https://CRAN.R-project.org/package=shiny" TargetMode="External" /><Relationship Type="http://schemas.openxmlformats.org/officeDocument/2006/relationships/hyperlink" Id="rId71" Target="https://CRAN.R-project.org/package=stringr" TargetMode="External" /><Relationship Type="http://schemas.openxmlformats.org/officeDocument/2006/relationships/hyperlink" Id="rId66" Target="https://CRAN.R-project.org/package=tibble" TargetMode="External" /><Relationship Type="http://schemas.openxmlformats.org/officeDocument/2006/relationships/hyperlink" Id="rId77" Target="https://CRAN.R-project.org/package=tidyr" TargetMode="External" /><Relationship Type="http://schemas.openxmlformats.org/officeDocument/2006/relationships/hyperlink" Id="rId72" Target="https://CRAN.R-project.org/package=tidyverse" TargetMode="External" /><Relationship Type="http://schemas.openxmlformats.org/officeDocument/2006/relationships/hyperlink" Id="rId109" Target="https://doi.org/10.1002/eap.2948" TargetMode="External" /><Relationship Type="http://schemas.openxmlformats.org/officeDocument/2006/relationships/hyperlink" Id="rId135" Target="https://doi.org/10.1007/s10533-023-01072-5" TargetMode="External" /><Relationship Type="http://schemas.openxmlformats.org/officeDocument/2006/relationships/hyperlink" Id="rId147" Target="https://doi.org/10.1007/s11368-014-0879-3" TargetMode="External" /><Relationship Type="http://schemas.openxmlformats.org/officeDocument/2006/relationships/hyperlink" Id="rId113" Target="https://doi.org/10.1016/0378-1127(90)90086-Q" TargetMode="External" /><Relationship Type="http://schemas.openxmlformats.org/officeDocument/2006/relationships/hyperlink" Id="rId111" Target="https://doi.org/10.1016/j.foreco.2007.09.088" TargetMode="External" /><Relationship Type="http://schemas.openxmlformats.org/officeDocument/2006/relationships/hyperlink" Id="rId105" Target="https://doi.org/10.1016/j.foreco.2018.06.003" TargetMode="External" /><Relationship Type="http://schemas.openxmlformats.org/officeDocument/2006/relationships/hyperlink" Id="rId89" Target="https://doi.org/10.1016/j.foreco.2020.118047" TargetMode="External" /><Relationship Type="http://schemas.openxmlformats.org/officeDocument/2006/relationships/hyperlink" Id="rId131" Target="https://doi.org/10.1016/j.foreco.2022.120029" TargetMode="External" /><Relationship Type="http://schemas.openxmlformats.org/officeDocument/2006/relationships/hyperlink" Id="rId137" Target="https://doi.org/10.1016/j.soilbio.2022.108838" TargetMode="External" /><Relationship Type="http://schemas.openxmlformats.org/officeDocument/2006/relationships/hyperlink" Id="rId151" Target="https://doi.org/10.1021/acs.est.4c06208" TargetMode="External" /><Relationship Type="http://schemas.openxmlformats.org/officeDocument/2006/relationships/hyperlink" Id="rId91" Target="https://doi.org/10.1093/aob/mcaa118" TargetMode="External" /><Relationship Type="http://schemas.openxmlformats.org/officeDocument/2006/relationships/hyperlink" Id="rId87" Target="https://doi.org/10.1093/treephys/tpab056" TargetMode="External" /><Relationship Type="http://schemas.openxmlformats.org/officeDocument/2006/relationships/hyperlink" Id="rId93" Target="https://doi.org/10.1111/j.1365-2486.2007.01483.x" TargetMode="External" /><Relationship Type="http://schemas.openxmlformats.org/officeDocument/2006/relationships/hyperlink" Id="rId107" Target="https://doi.org/10.1111/nph.14773" TargetMode="External" /><Relationship Type="http://schemas.openxmlformats.org/officeDocument/2006/relationships/hyperlink" Id="rId142" Target="https://doi.org/10.1139/X10-127" TargetMode="External" /><Relationship Type="http://schemas.openxmlformats.org/officeDocument/2006/relationships/hyperlink" Id="rId115" Target="https://doi.org/10.1139/x06-046" TargetMode="External" /><Relationship Type="http://schemas.openxmlformats.org/officeDocument/2006/relationships/hyperlink" Id="rId96" Target="https://doi.org/10.1186/s13717-017-0100-x" TargetMode="External" /><Relationship Type="http://schemas.openxmlformats.org/officeDocument/2006/relationships/hyperlink" Id="rId123" Target="https://doi.org/10.1186/s42408-024-00247-1" TargetMode="External" /><Relationship Type="http://schemas.openxmlformats.org/officeDocument/2006/relationships/hyperlink" Id="rId121" Target="https://doi.org/10.1641/B580207" TargetMode="External" /><Relationship Type="http://schemas.openxmlformats.org/officeDocument/2006/relationships/hyperlink" Id="rId145" Target="https://doi.org/10.1890/1051-0761(2001)011[1349:FEONPA]2.0.CO;2" TargetMode="External" /><Relationship Type="http://schemas.openxmlformats.org/officeDocument/2006/relationships/hyperlink" Id="rId117" Target="https://doi.org/10.2193/2006-169" TargetMode="External" /><Relationship Type="http://schemas.openxmlformats.org/officeDocument/2006/relationships/hyperlink" Id="rId82" Target="https://doi.org/10.2307/1311781" TargetMode="External" /><Relationship Type="http://schemas.openxmlformats.org/officeDocument/2006/relationships/hyperlink" Id="rId133" Target="https://doi.org/10.2307/1939313" TargetMode="External" /><Relationship Type="http://schemas.openxmlformats.org/officeDocument/2006/relationships/hyperlink" Id="rId98" Target="https://doi.org/10.3159/TORREY-D-21-00027.1" TargetMode="External" /><Relationship Type="http://schemas.openxmlformats.org/officeDocument/2006/relationships/hyperlink" Id="rId102" Target="https://doi.org/10.3390/f9080461" TargetMode="External" /><Relationship Type="http://schemas.openxmlformats.org/officeDocument/2006/relationships/hyperlink" Id="rId85" Target="https://doi.org/10.5849/jof.11-080" TargetMode="External" /><Relationship Type="http://schemas.openxmlformats.org/officeDocument/2006/relationships/hyperlink" Id="rId119" Target="https://doi.org/10.5849/jof.16-039" TargetMode="External" /><Relationship Type="http://schemas.openxmlformats.org/officeDocument/2006/relationships/hyperlink" Id="rId70" Target="https://ggplot2.tidyverse.org" TargetMode="External" /><Relationship Type="http://schemas.openxmlformats.org/officeDocument/2006/relationships/hyperlink" Id="rId63" Target="https://github.com/cboettig/knitcitations" TargetMode="External" /><Relationship Type="http://schemas.openxmlformats.org/officeDocument/2006/relationships/hyperlink" Id="rId62" Target="https://github.com/crsh/citr" TargetMode="External" /><Relationship Type="http://schemas.openxmlformats.org/officeDocument/2006/relationships/hyperlink" Id="rId80" Target="https://github.com/rstudio/tinytex" TargetMode="External" /><Relationship Type="http://schemas.openxmlformats.org/officeDocument/2006/relationships/hyperlink" Id="rId79" Target="https://tug.org/TUGboat/Contents/contents40-1.html" TargetMode="External" /><Relationship Type="http://schemas.openxmlformats.org/officeDocument/2006/relationships/hyperlink" Id="rId67" Target="https://www.R-project.org/" TargetMode="External" /><Relationship Type="http://schemas.openxmlformats.org/officeDocument/2006/relationships/hyperlink" Id="rId140" Target="https://www.fs.usda.gov/detail/whitemountain/landmanagement/planning/?cid=STELPRDB5199941" TargetMode="External" /><Relationship Type="http://schemas.openxmlformats.org/officeDocument/2006/relationships/hyperlink" Id="rId65" Target="https://www.jstatsoft.org/v40/i03/" TargetMode="External" /><Relationship Type="http://schemas.openxmlformats.org/officeDocument/2006/relationships/hyperlink" Id="rId125" Target="https://www.nrs.fs.fed.us/atlas" TargetMode="External" /><Relationship Type="http://schemas.openxmlformats.org/officeDocument/2006/relationships/hyperlink" Id="rId78" Target="https://yihui.org/knit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Effects of silvicultural burns on Quercus rubra regeneration near its northern range limit</dc:title>
  <dc:creator/>
  <cp:keywords/>
  <dcterms:created xsi:type="dcterms:W3CDTF">2025-04-09T15:22:57Z</dcterms:created>
  <dcterms:modified xsi:type="dcterms:W3CDTF">2025-04-09T15:22:57Z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config">
    <vt:lpwstr>True</vt:lpwstr>
  </property>
  <property fmtid="{D5CDD505-2E9C-101B-9397-08002B2CF9AE}" pid="4" name="bibliography">
    <vt:lpwstr/>
  </property>
  <property fmtid="{D5CDD505-2E9C-101B-9397-08002B2CF9AE}" pid="5" name="csl">
    <vt:lpwstr>ecology.csl</vt:lpwstr>
  </property>
  <property fmtid="{D5CDD505-2E9C-101B-9397-08002B2CF9AE}" pid="6" name="documentclass">
    <vt:lpwstr>article</vt:lpwstr>
  </property>
  <property fmtid="{D5CDD505-2E9C-101B-9397-08002B2CF9AE}" pid="7" name="editor">
    <vt:lpwstr>visual</vt:lpwstr>
  </property>
  <property fmtid="{D5CDD505-2E9C-101B-9397-08002B2CF9AE}" pid="8" name="fig-cap-location">
    <vt:lpwstr>bottom</vt:lpwstr>
  </property>
  <property fmtid="{D5CDD505-2E9C-101B-9397-08002B2CF9AE}" pid="9" name="fontsize">
    <vt:lpwstr>12pt</vt:lpwstr>
  </property>
  <property fmtid="{D5CDD505-2E9C-101B-9397-08002B2CF9AE}" pid="10" name="geometry">
    <vt:lpwstr>margin=1in</vt:lpwstr>
  </property>
  <property fmtid="{D5CDD505-2E9C-101B-9397-08002B2CF9AE}" pid="11" name="header-includes">
    <vt:lpwstr/>
  </property>
  <property fmtid="{D5CDD505-2E9C-101B-9397-08002B2CF9AE}" pid="12" name="include-after">
    <vt:lpwstr/>
  </property>
  <property fmtid="{D5CDD505-2E9C-101B-9397-08002B2CF9AE}" pid="13" name="include-before">
    <vt:lpwstr/>
  </property>
  <property fmtid="{D5CDD505-2E9C-101B-9397-08002B2CF9AE}" pid="14" name="labels">
    <vt:lpwstr/>
  </property>
  <property fmtid="{D5CDD505-2E9C-101B-9397-08002B2CF9AE}" pid="15" name="linestretch">
    <vt:lpwstr>2</vt:lpwstr>
  </property>
  <property fmtid="{D5CDD505-2E9C-101B-9397-08002B2CF9AE}" pid="16" name="mainfont">
    <vt:lpwstr>Times New Roman</vt:lpwstr>
  </property>
  <property fmtid="{D5CDD505-2E9C-101B-9397-08002B2CF9AE}" pid="17" name="papersize">
    <vt:lpwstr>a4</vt:lpwstr>
  </property>
  <property fmtid="{D5CDD505-2E9C-101B-9397-08002B2CF9AE}" pid="18" name="tbl-cap-location">
    <vt:lpwstr>top</vt:lpwstr>
  </property>
  <property fmtid="{D5CDD505-2E9C-101B-9397-08002B2CF9AE}" pid="19" name="toc-title">
    <vt:lpwstr>Table of contents</vt:lpwstr>
  </property>
</Properties>
</file>